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color w:val="auto"/>
          <w:sz w:val="48"/>
          <w:szCs w:val="48"/>
          <w:highlight w:val="none"/>
        </w:rPr>
      </w:pPr>
    </w:p>
    <w:p>
      <w:pPr>
        <w:pStyle w:val="2"/>
        <w:jc w:val="center"/>
        <w:rPr>
          <w:rFonts w:hint="eastAsia" w:ascii="宋体" w:hAnsi="宋体" w:eastAsia="宋体" w:cs="宋体"/>
          <w:color w:val="auto"/>
          <w:sz w:val="44"/>
          <w:szCs w:val="44"/>
          <w:highlight w:val="none"/>
        </w:rPr>
      </w:pPr>
      <w:r>
        <w:rPr>
          <w:rFonts w:hint="eastAsia" w:ascii="宋体" w:hAnsi="宋体" w:eastAsia="宋体" w:cs="宋体"/>
          <w:b/>
          <w:bCs/>
          <w:color w:val="auto"/>
          <w:kern w:val="44"/>
          <w:sz w:val="44"/>
          <w:szCs w:val="44"/>
          <w:highlight w:val="none"/>
          <w:lang w:eastAsia="zh-CN"/>
        </w:rPr>
        <w:t>安庆职业技术学院“两站两服务”平台暨青年之家装饰工程</w:t>
      </w:r>
    </w:p>
    <w:p>
      <w:pPr>
        <w:spacing w:line="360" w:lineRule="auto"/>
        <w:jc w:val="center"/>
        <w:rPr>
          <w:rFonts w:ascii="宋体" w:hAnsi="宋体" w:cs="宋体"/>
          <w:b/>
          <w:color w:val="auto"/>
          <w:sz w:val="110"/>
          <w:szCs w:val="110"/>
          <w:highlight w:val="none"/>
        </w:rPr>
      </w:pPr>
      <w:r>
        <w:rPr>
          <w:rFonts w:hint="eastAsia" w:ascii="宋体" w:hAnsi="宋体" w:cs="宋体"/>
          <w:b/>
          <w:color w:val="auto"/>
          <w:sz w:val="110"/>
          <w:szCs w:val="110"/>
          <w:highlight w:val="none"/>
        </w:rPr>
        <w:t xml:space="preserve"> 竞争性谈判文件</w:t>
      </w:r>
    </w:p>
    <w:p>
      <w:pPr>
        <w:pStyle w:val="2"/>
        <w:rPr>
          <w:rFonts w:hint="eastAsia"/>
          <w:color w:val="auto"/>
          <w:highlight w:val="none"/>
        </w:rPr>
      </w:pPr>
    </w:p>
    <w:p>
      <w:pPr>
        <w:spacing w:line="360" w:lineRule="auto"/>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项目编号：</w:t>
      </w:r>
      <w:r>
        <w:rPr>
          <w:rFonts w:hint="eastAsia" w:ascii="宋体" w:hAnsi="宋体" w:cs="宋体"/>
          <w:b/>
          <w:color w:val="auto"/>
          <w:sz w:val="24"/>
          <w:highlight w:val="none"/>
          <w:lang w:val="en-US" w:eastAsia="zh-CN"/>
        </w:rPr>
        <w:t>CG-AQ-2022-1084  FS34080120221173号</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ascii="宋体" w:hAnsi="宋体" w:cs="宋体"/>
          <w:b/>
          <w:color w:val="auto"/>
          <w:szCs w:val="21"/>
          <w:highlight w:val="none"/>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安庆职业技术学院</w:t>
      </w:r>
      <w:r>
        <w:rPr>
          <w:rFonts w:hint="eastAsia" w:ascii="宋体" w:hAnsi="宋体" w:cs="宋体"/>
          <w:b/>
          <w:color w:val="auto"/>
          <w:spacing w:val="20"/>
          <w:sz w:val="30"/>
          <w:szCs w:val="30"/>
          <w:highlight w:val="none"/>
          <w:u w:val="single"/>
        </w:rPr>
        <w:t xml:space="preserve">     </w:t>
      </w:r>
      <w:r>
        <w:rPr>
          <w:rFonts w:hint="eastAsia" w:ascii="宋体" w:hAnsi="宋体" w:cs="宋体"/>
          <w:b/>
          <w:color w:val="auto"/>
          <w:sz w:val="30"/>
          <w:szCs w:val="30"/>
          <w:highlight w:val="none"/>
          <w:u w:val="single"/>
        </w:rPr>
        <w:t xml:space="preserve">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ascii="宋体" w:hAnsi="宋体" w:cs="宋体"/>
          <w:b/>
          <w:color w:val="auto"/>
          <w:sz w:val="18"/>
          <w:szCs w:val="18"/>
          <w:highlight w:val="none"/>
        </w:rPr>
      </w:pPr>
      <w:r>
        <w:rPr>
          <w:rFonts w:hint="eastAsia" w:ascii="宋体" w:hAnsi="宋体" w:cs="宋体"/>
          <w:b/>
          <w:color w:val="auto"/>
          <w:kern w:val="2"/>
          <w:sz w:val="30"/>
          <w:szCs w:val="30"/>
          <w:highlight w:val="none"/>
          <w:lang w:val="en-US" w:eastAsia="zh-CN" w:bidi="ar-SA"/>
        </w:rPr>
        <w:t>采购</w:t>
      </w:r>
      <w:r>
        <w:rPr>
          <w:rFonts w:hint="eastAsia" w:ascii="宋体" w:hAnsi="宋体" w:eastAsia="宋体" w:cs="宋体"/>
          <w:b/>
          <w:color w:val="auto"/>
          <w:kern w:val="2"/>
          <w:sz w:val="30"/>
          <w:szCs w:val="30"/>
          <w:highlight w:val="none"/>
          <w:lang w:val="en-US" w:eastAsia="zh-CN" w:bidi="ar-SA"/>
        </w:rPr>
        <w:t>代理机构</w:t>
      </w:r>
      <w:r>
        <w:rPr>
          <w:rFonts w:hint="eastAsia" w:ascii="宋体" w:hAnsi="宋体" w:cs="宋体"/>
          <w:b/>
          <w:color w:val="auto"/>
          <w:sz w:val="32"/>
          <w:szCs w:val="32"/>
          <w:highlight w:val="none"/>
        </w:rPr>
        <w:t>：</w:t>
      </w:r>
      <w:r>
        <w:rPr>
          <w:rFonts w:hint="eastAsia" w:ascii="宋体" w:hAnsi="宋体" w:cs="宋体"/>
          <w:b/>
          <w:color w:val="auto"/>
          <w:sz w:val="32"/>
          <w:szCs w:val="32"/>
          <w:highlight w:val="none"/>
          <w:u w:val="single"/>
          <w:lang w:val="en-US" w:eastAsia="zh-CN"/>
        </w:rPr>
        <w:t xml:space="preserve">    </w:t>
      </w:r>
      <w:r>
        <w:rPr>
          <w:rFonts w:hint="eastAsia" w:ascii="宋体" w:hAnsi="宋体" w:eastAsia="宋体" w:cs="宋体"/>
          <w:b/>
          <w:color w:val="auto"/>
          <w:kern w:val="2"/>
          <w:sz w:val="30"/>
          <w:szCs w:val="30"/>
          <w:highlight w:val="none"/>
          <w:u w:val="single"/>
          <w:lang w:val="en-US" w:eastAsia="zh-CN" w:bidi="ar-SA"/>
        </w:rPr>
        <w:t>安庆市皖宜项目咨询管理有限公司</w:t>
      </w:r>
      <w:r>
        <w:rPr>
          <w:rFonts w:hint="eastAsia" w:ascii="宋体" w:hAnsi="宋体" w:cs="宋体"/>
          <w:b/>
          <w:color w:val="auto"/>
          <w:sz w:val="32"/>
          <w:szCs w:val="32"/>
          <w:highlight w:val="none"/>
          <w:u w:val="single"/>
          <w:lang w:val="en-US" w:eastAsia="zh-CN"/>
        </w:rPr>
        <w:t xml:space="preserve">     </w:t>
      </w: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rPr>
          <w:rFonts w:ascii="宋体" w:hAnsi="宋体" w:cs="宋体"/>
          <w:color w:val="auto"/>
          <w:sz w:val="24"/>
          <w:highlight w:val="none"/>
        </w:rPr>
      </w:pPr>
    </w:p>
    <w:p>
      <w:pPr>
        <w:spacing w:line="360" w:lineRule="auto"/>
        <w:ind w:firstLine="596" w:firstLineChars="198"/>
        <w:rPr>
          <w:rFonts w:ascii="宋体" w:hAnsi="宋体" w:cs="宋体"/>
          <w:b/>
          <w:color w:val="auto"/>
          <w:sz w:val="30"/>
          <w:szCs w:val="30"/>
          <w:highlight w:val="none"/>
          <w:u w:val="none"/>
        </w:rPr>
      </w:pPr>
      <w:r>
        <w:rPr>
          <w:rFonts w:hint="eastAsia" w:ascii="宋体" w:hAnsi="宋体" w:cs="宋体"/>
          <w:b/>
          <w:color w:val="auto"/>
          <w:sz w:val="30"/>
          <w:szCs w:val="30"/>
          <w:highlight w:val="none"/>
          <w:u w:val="none"/>
        </w:rPr>
        <w:t xml:space="preserve">  </w:t>
      </w:r>
      <w:r>
        <w:rPr>
          <w:rFonts w:hint="eastAsia" w:ascii="宋体" w:hAnsi="宋体" w:cs="宋体"/>
          <w:b/>
          <w:color w:val="auto"/>
          <w:sz w:val="30"/>
          <w:szCs w:val="30"/>
          <w:highlight w:val="none"/>
          <w:u w:val="none"/>
          <w:lang w:val="en-US" w:eastAsia="zh-CN"/>
        </w:rPr>
        <w:t xml:space="preserve">      </w:t>
      </w:r>
      <w:r>
        <w:rPr>
          <w:rFonts w:hint="eastAsia" w:ascii="宋体" w:hAnsi="宋体" w:cs="宋体"/>
          <w:b/>
          <w:color w:val="auto"/>
          <w:sz w:val="30"/>
          <w:szCs w:val="30"/>
          <w:highlight w:val="none"/>
          <w:u w:val="none"/>
        </w:rPr>
        <w:t xml:space="preserve"> </w:t>
      </w:r>
      <w:r>
        <w:rPr>
          <w:rFonts w:hint="eastAsia" w:ascii="宋体" w:hAnsi="宋体" w:cs="宋体"/>
          <w:b/>
          <w:color w:val="auto"/>
          <w:spacing w:val="40"/>
          <w:sz w:val="30"/>
          <w:szCs w:val="30"/>
          <w:highlight w:val="none"/>
          <w:u w:val="none"/>
        </w:rPr>
        <w:t>安庆市公共资源交易监督管理局</w:t>
      </w:r>
      <w:r>
        <w:rPr>
          <w:rFonts w:hint="eastAsia" w:ascii="宋体" w:hAnsi="宋体" w:cs="宋体"/>
          <w:b/>
          <w:color w:val="auto"/>
          <w:sz w:val="30"/>
          <w:szCs w:val="30"/>
          <w:highlight w:val="none"/>
          <w:u w:val="none"/>
        </w:rPr>
        <w:t xml:space="preserve"> </w:t>
      </w: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日  期：二〇二</w:t>
      </w:r>
      <w:r>
        <w:rPr>
          <w:rFonts w:hint="eastAsia" w:ascii="宋体" w:hAnsi="宋体" w:cs="宋体"/>
          <w:b/>
          <w:color w:val="auto"/>
          <w:sz w:val="30"/>
          <w:szCs w:val="30"/>
          <w:highlight w:val="none"/>
          <w:lang w:val="en-US" w:eastAsia="zh-CN"/>
        </w:rPr>
        <w:t>二</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十一</w:t>
      </w:r>
      <w:r>
        <w:rPr>
          <w:rFonts w:hint="eastAsia" w:ascii="宋体" w:hAnsi="宋体" w:cs="宋体"/>
          <w:b/>
          <w:color w:val="auto"/>
          <w:sz w:val="30"/>
          <w:szCs w:val="30"/>
          <w:highlight w:val="none"/>
        </w:rPr>
        <w:t>月</w:t>
      </w:r>
    </w:p>
    <w:p>
      <w:pPr>
        <w:rPr>
          <w:rFonts w:ascii="宋体" w:hAnsi="宋体" w:cs="宋体"/>
          <w:color w:val="auto"/>
          <w:highlight w:val="none"/>
        </w:rPr>
      </w:pPr>
    </w:p>
    <w:p>
      <w:pPr>
        <w:widowControl/>
        <w:spacing w:line="480" w:lineRule="auto"/>
        <w:jc w:val="center"/>
        <w:rPr>
          <w:rFonts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竞争性谈判文件</w:t>
      </w:r>
      <w:r>
        <w:rPr>
          <w:rFonts w:hint="eastAsia" w:ascii="宋体" w:hAnsi="宋体" w:cs="宋体"/>
          <w:b/>
          <w:color w:val="auto"/>
          <w:kern w:val="0"/>
          <w:sz w:val="24"/>
          <w:highlight w:val="none"/>
        </w:rPr>
        <w:t xml:space="preserve">条款的违法违规行为。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9.窃取项目投标人报名情况、</w:t>
      </w:r>
      <w:r>
        <w:rPr>
          <w:rFonts w:hint="eastAsia" w:ascii="宋体" w:hAnsi="宋体" w:cs="宋体"/>
          <w:b/>
          <w:color w:val="auto"/>
          <w:kern w:val="0"/>
          <w:sz w:val="24"/>
          <w:highlight w:val="none"/>
          <w:lang w:eastAsia="zh-CN"/>
        </w:rPr>
        <w:t>谈判小组</w:t>
      </w:r>
      <w:r>
        <w:rPr>
          <w:rFonts w:hint="eastAsia" w:ascii="宋体" w:hAnsi="宋体" w:cs="宋体"/>
          <w:b/>
          <w:color w:val="auto"/>
          <w:kern w:val="0"/>
          <w:sz w:val="24"/>
          <w:highlight w:val="none"/>
        </w:rPr>
        <w:t xml:space="preserve">组成人员等保密信息。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10.领导干部违反规定插手干预项目招投标活动。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11.干部职工在招投标活动中与黑恶势力勾结，充当保护伞。</w:t>
      </w:r>
    </w:p>
    <w:p>
      <w:pPr>
        <w:widowControl/>
        <w:spacing w:line="480" w:lineRule="auto"/>
        <w:ind w:firstLine="482" w:firstLineChars="200"/>
        <w:jc w:val="left"/>
        <w:rPr>
          <w:rFonts w:ascii="宋体" w:hAnsi="宋体" w:cs="宋体"/>
          <w:b/>
          <w:color w:val="auto"/>
          <w:kern w:val="0"/>
          <w:sz w:val="24"/>
          <w:highlight w:val="none"/>
        </w:rPr>
      </w:pPr>
    </w:p>
    <w:p>
      <w:pPr>
        <w:widowControl/>
        <w:spacing w:line="480" w:lineRule="auto"/>
        <w:ind w:firstLine="482" w:firstLineChars="200"/>
        <w:jc w:val="left"/>
        <w:rPr>
          <w:rFonts w:ascii="宋体" w:hAnsi="宋体" w:cs="宋体"/>
          <w:b/>
          <w:color w:val="auto"/>
          <w:kern w:val="0"/>
          <w:sz w:val="24"/>
          <w:highlight w:val="none"/>
        </w:rPr>
      </w:pP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二、请各谈判响应人认真阅读谈判文件，对下述事项予以重视：</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lang w:val="en-US" w:eastAsia="zh-CN"/>
        </w:rPr>
        <w:t>1</w:t>
      </w:r>
      <w:r>
        <w:rPr>
          <w:rFonts w:hint="eastAsia" w:ascii="宋体" w:hAnsi="宋体" w:cs="宋体"/>
          <w:b/>
          <w:color w:val="auto"/>
          <w:kern w:val="0"/>
          <w:sz w:val="24"/>
          <w:highlight w:val="none"/>
        </w:rPr>
        <w:t>、按照谈判文件要求制作谈判响应文件，谈判响应文件创建标识码、文件制作机器码任一项一致的将不予通过符合性评审，并予以披露，记入不良行为记录。</w:t>
      </w:r>
    </w:p>
    <w:p>
      <w:pPr>
        <w:widowControl/>
        <w:ind w:firstLine="482" w:firstLineChars="200"/>
        <w:jc w:val="left"/>
        <w:rPr>
          <w:b/>
          <w:color w:val="auto"/>
          <w:sz w:val="28"/>
          <w:szCs w:val="28"/>
          <w:highlight w:val="none"/>
        </w:rPr>
      </w:pPr>
      <w:r>
        <w:rPr>
          <w:rFonts w:hint="eastAsia" w:ascii="宋体" w:hAnsi="宋体" w:cs="宋体"/>
          <w:b/>
          <w:color w:val="auto"/>
          <w:kern w:val="0"/>
          <w:sz w:val="24"/>
          <w:highlight w:val="none"/>
          <w:lang w:val="en-US" w:eastAsia="zh-CN"/>
        </w:rPr>
        <w:t>2</w:t>
      </w:r>
      <w:r>
        <w:rPr>
          <w:rFonts w:hint="eastAsia" w:ascii="宋体" w:hAnsi="宋体" w:cs="宋体"/>
          <w:b/>
          <w:color w:val="auto"/>
          <w:kern w:val="0"/>
          <w:sz w:val="24"/>
          <w:highlight w:val="none"/>
        </w:rPr>
        <w:t>、对投标活动中可能发生的质疑、投诉行为，须依法在规定的时间内提出。</w:t>
      </w:r>
      <w:r>
        <w:rPr>
          <w:rFonts w:ascii="宋体" w:hAnsi="宋体" w:cs="宋体"/>
          <w:b/>
          <w:color w:val="auto"/>
          <w:kern w:val="0"/>
          <w:sz w:val="28"/>
          <w:szCs w:val="28"/>
          <w:highlight w:val="none"/>
        </w:rPr>
        <w:t xml:space="preserve">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rPr>
        <w:t>、本项目开评标期间，谈判响应人必须保证联系电话、电子邮箱通畅，因谈判响应人通讯不畅造成的不利后果由谈判响应人自行承担。</w:t>
      </w:r>
    </w:p>
    <w:p>
      <w:pPr>
        <w:widowControl/>
        <w:jc w:val="left"/>
        <w:rPr>
          <w:rFonts w:ascii="宋体" w:hAnsi="宋体" w:cs="宋体"/>
          <w:b/>
          <w:color w:val="auto"/>
          <w:kern w:val="0"/>
          <w:sz w:val="24"/>
          <w:highlight w:val="none"/>
        </w:rPr>
      </w:pPr>
      <w:r>
        <w:rPr>
          <w:rFonts w:ascii="宋体" w:hAnsi="宋体" w:cs="宋体"/>
          <w:b/>
          <w:color w:val="auto"/>
          <w:kern w:val="0"/>
          <w:sz w:val="28"/>
          <w:szCs w:val="28"/>
          <w:highlight w:val="none"/>
        </w:rPr>
        <w:t> </w:t>
      </w:r>
    </w:p>
    <w:p>
      <w:pPr>
        <w:widowControl/>
        <w:jc w:val="left"/>
        <w:rPr>
          <w:rFonts w:ascii="宋体" w:hAnsi="宋体" w:cs="宋体"/>
          <w:b/>
          <w:color w:val="auto"/>
          <w:kern w:val="0"/>
          <w:sz w:val="24"/>
          <w:highlight w:val="none"/>
        </w:rPr>
      </w:pPr>
      <w:r>
        <w:rPr>
          <w:rFonts w:ascii="宋体" w:hAnsi="宋体" w:cs="宋体"/>
          <w:b/>
          <w:color w:val="auto"/>
          <w:kern w:val="0"/>
          <w:sz w:val="24"/>
          <w:highlight w:val="none"/>
        </w:rPr>
        <w:br w:type="page"/>
      </w:r>
    </w:p>
    <w:p>
      <w:pPr>
        <w:bidi w:val="0"/>
        <w:jc w:val="left"/>
        <w:rPr>
          <w:rFonts w:ascii="Times New Roman" w:hAnsi="Times New Roman" w:eastAsia="宋体" w:cs="Times New Roman"/>
          <w:kern w:val="2"/>
          <w:sz w:val="21"/>
          <w:szCs w:val="24"/>
          <w:lang w:val="en-US" w:eastAsia="zh-CN" w:bidi="ar-SA"/>
        </w:rPr>
      </w:pP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目   录</w:t>
      </w:r>
    </w:p>
    <w:p>
      <w:pPr>
        <w:pStyle w:val="22"/>
        <w:tabs>
          <w:tab w:val="right" w:leader="dot" w:pos="9070"/>
          <w:tab w:val="clear" w:pos="1260"/>
          <w:tab w:val="clear" w:pos="906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TOC \o "1-3" \h \z \u </w:instrText>
      </w:r>
      <w:r>
        <w:rPr>
          <w:rFonts w:hint="eastAsia"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HYPERLINK \l _Toc17841 </w:instrText>
      </w:r>
      <w:r>
        <w:rPr>
          <w:rFonts w:ascii="宋体" w:hAnsi="宋体" w:cs="宋体"/>
          <w:color w:val="auto"/>
          <w:highlight w:val="none"/>
        </w:rPr>
        <w:fldChar w:fldCharType="separate"/>
      </w:r>
      <w:r>
        <w:rPr>
          <w:rFonts w:hint="eastAsia" w:ascii="宋体" w:hAnsi="宋体" w:cs="宋体"/>
          <w:bCs/>
          <w:color w:val="auto"/>
          <w:szCs w:val="32"/>
          <w:highlight w:val="none"/>
        </w:rPr>
        <w:t xml:space="preserve">第一章   </w:t>
      </w:r>
      <w:r>
        <w:rPr>
          <w:rFonts w:hint="eastAsia" w:ascii="宋体" w:hAnsi="宋体" w:cs="宋体"/>
          <w:bCs/>
          <w:color w:val="auto"/>
          <w:szCs w:val="32"/>
          <w:highlight w:val="none"/>
          <w:lang w:eastAsia="zh-CN"/>
        </w:rPr>
        <w:t>竞争性谈判公告</w:t>
      </w:r>
      <w:r>
        <w:rPr>
          <w:color w:val="auto"/>
          <w:highlight w:val="none"/>
        </w:rPr>
        <w:tab/>
      </w:r>
      <w:r>
        <w:rPr>
          <w:color w:val="auto"/>
          <w:highlight w:val="none"/>
        </w:rPr>
        <w:fldChar w:fldCharType="begin"/>
      </w:r>
      <w:r>
        <w:rPr>
          <w:color w:val="auto"/>
          <w:highlight w:val="none"/>
        </w:rPr>
        <w:instrText xml:space="preserve"> PAGEREF _Toc17841 \h </w:instrText>
      </w:r>
      <w:r>
        <w:rPr>
          <w:color w:val="auto"/>
          <w:highlight w:val="none"/>
        </w:rPr>
        <w:fldChar w:fldCharType="separate"/>
      </w:r>
      <w:r>
        <w:rPr>
          <w:color w:val="auto"/>
          <w:highlight w:val="none"/>
        </w:rPr>
        <w:t>1</w:t>
      </w:r>
      <w:r>
        <w:rPr>
          <w:color w:val="auto"/>
          <w:highlight w:val="none"/>
        </w:rPr>
        <w:fldChar w:fldCharType="end"/>
      </w:r>
      <w:r>
        <w:rPr>
          <w:rFonts w:ascii="宋体" w:hAnsi="宋体" w:cs="宋体"/>
          <w:color w:val="auto"/>
          <w:highlight w:val="none"/>
        </w:rPr>
        <w:fldChar w:fldCharType="end"/>
      </w:r>
    </w:p>
    <w:p>
      <w:pPr>
        <w:pStyle w:val="22"/>
        <w:tabs>
          <w:tab w:val="right" w:leader="dot" w:pos="9070"/>
          <w:tab w:val="clear" w:pos="1260"/>
          <w:tab w:val="clear" w:pos="906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_Toc352 </w:instrText>
      </w:r>
      <w:r>
        <w:rPr>
          <w:rFonts w:hint="eastAsia" w:ascii="宋体" w:hAnsi="宋体" w:cs="宋体"/>
          <w:color w:val="auto"/>
          <w:highlight w:val="none"/>
        </w:rPr>
        <w:fldChar w:fldCharType="separate"/>
      </w:r>
      <w:r>
        <w:rPr>
          <w:rFonts w:hint="eastAsia" w:ascii="宋体" w:hAnsi="宋体" w:cs="宋体"/>
          <w:color w:val="auto"/>
          <w:highlight w:val="none"/>
        </w:rPr>
        <w:t>第二章   谈判响应人须知</w:t>
      </w:r>
      <w:r>
        <w:rPr>
          <w:color w:val="auto"/>
          <w:highlight w:val="none"/>
        </w:rPr>
        <w:tab/>
      </w:r>
      <w:r>
        <w:rPr>
          <w:color w:val="auto"/>
          <w:highlight w:val="none"/>
        </w:rPr>
        <w:fldChar w:fldCharType="begin"/>
      </w:r>
      <w:r>
        <w:rPr>
          <w:color w:val="auto"/>
          <w:highlight w:val="none"/>
        </w:rPr>
        <w:instrText xml:space="preserve"> PAGEREF _Toc352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highlight w:val="none"/>
        </w:rPr>
        <w:fldChar w:fldCharType="end"/>
      </w:r>
    </w:p>
    <w:p>
      <w:pPr>
        <w:pStyle w:val="22"/>
        <w:tabs>
          <w:tab w:val="right" w:leader="dot" w:pos="9070"/>
          <w:tab w:val="clear" w:pos="1260"/>
          <w:tab w:val="clear" w:pos="906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_Toc16542 </w:instrText>
      </w:r>
      <w:r>
        <w:rPr>
          <w:rFonts w:hint="eastAsia" w:ascii="宋体" w:hAnsi="宋体" w:cs="宋体"/>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三</w:t>
      </w:r>
      <w:r>
        <w:rPr>
          <w:rFonts w:hint="eastAsia" w:ascii="宋体" w:hAnsi="宋体" w:cs="宋体"/>
          <w:color w:val="auto"/>
          <w:highlight w:val="none"/>
        </w:rPr>
        <w:t>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合同条款</w:t>
      </w:r>
      <w:r>
        <w:rPr>
          <w:color w:val="auto"/>
          <w:highlight w:val="none"/>
        </w:rPr>
        <w:tab/>
      </w:r>
      <w:r>
        <w:rPr>
          <w:color w:val="auto"/>
          <w:highlight w:val="none"/>
        </w:rPr>
        <w:fldChar w:fldCharType="begin"/>
      </w:r>
      <w:r>
        <w:rPr>
          <w:color w:val="auto"/>
          <w:highlight w:val="none"/>
        </w:rPr>
        <w:instrText xml:space="preserve"> PAGEREF _Toc16542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highlight w:val="none"/>
        </w:rPr>
        <w:fldChar w:fldCharType="end"/>
      </w:r>
    </w:p>
    <w:p>
      <w:pPr>
        <w:pStyle w:val="22"/>
        <w:tabs>
          <w:tab w:val="right" w:leader="dot" w:pos="9070"/>
          <w:tab w:val="clear" w:pos="1260"/>
          <w:tab w:val="clear" w:pos="906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_Toc31967 </w:instrText>
      </w:r>
      <w:r>
        <w:rPr>
          <w:rFonts w:hint="eastAsia" w:ascii="宋体" w:hAnsi="宋体" w:cs="宋体"/>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章   谈判响应文件格式</w:t>
      </w:r>
      <w:r>
        <w:rPr>
          <w:color w:val="auto"/>
          <w:highlight w:val="none"/>
        </w:rPr>
        <w:tab/>
      </w:r>
      <w:r>
        <w:rPr>
          <w:color w:val="auto"/>
          <w:highlight w:val="none"/>
        </w:rPr>
        <w:fldChar w:fldCharType="begin"/>
      </w:r>
      <w:r>
        <w:rPr>
          <w:color w:val="auto"/>
          <w:highlight w:val="none"/>
        </w:rPr>
        <w:instrText xml:space="preserve"> PAGEREF _Toc31967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cs="宋体"/>
          <w:color w:val="auto"/>
          <w:highlight w:val="none"/>
        </w:rPr>
        <w:fldChar w:fldCharType="end"/>
      </w:r>
    </w:p>
    <w:p>
      <w:pPr>
        <w:pStyle w:val="22"/>
        <w:tabs>
          <w:tab w:val="right" w:leader="dot" w:pos="9070"/>
          <w:tab w:val="clear" w:pos="1260"/>
          <w:tab w:val="clear" w:pos="906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_Toc21713 </w:instrText>
      </w:r>
      <w:r>
        <w:rPr>
          <w:rFonts w:hint="eastAsia" w:ascii="宋体" w:hAnsi="宋体" w:cs="宋体"/>
          <w:color w:val="auto"/>
          <w:highlight w:val="none"/>
        </w:rPr>
        <w:fldChar w:fldCharType="separate"/>
      </w:r>
      <w:r>
        <w:rPr>
          <w:rFonts w:hint="eastAsia" w:ascii="宋体" w:hAnsi="宋体" w:eastAsia="宋体" w:cs="宋体"/>
          <w:color w:val="auto"/>
          <w:szCs w:val="36"/>
          <w:highlight w:val="none"/>
        </w:rPr>
        <w:t>第五章</w:t>
      </w:r>
      <w:r>
        <w:rPr>
          <w:rFonts w:hint="eastAsia" w:ascii="宋体" w:hAnsi="宋体" w:eastAsia="宋体" w:cs="宋体"/>
          <w:color w:val="auto"/>
          <w:szCs w:val="36"/>
          <w:highlight w:val="none"/>
          <w:lang w:val="en-US" w:eastAsia="zh-CN"/>
        </w:rPr>
        <w:t xml:space="preserve">  </w:t>
      </w:r>
      <w:r>
        <w:rPr>
          <w:rFonts w:hint="eastAsia" w:ascii="宋体" w:hAnsi="宋体" w:eastAsia="宋体" w:cs="宋体"/>
          <w:color w:val="auto"/>
          <w:szCs w:val="36"/>
          <w:highlight w:val="none"/>
        </w:rPr>
        <w:t>工程技术经济要求</w:t>
      </w:r>
      <w:r>
        <w:rPr>
          <w:color w:val="auto"/>
          <w:highlight w:val="none"/>
        </w:rPr>
        <w:tab/>
      </w:r>
      <w:r>
        <w:rPr>
          <w:color w:val="auto"/>
          <w:highlight w:val="none"/>
        </w:rPr>
        <w:fldChar w:fldCharType="begin"/>
      </w:r>
      <w:r>
        <w:rPr>
          <w:color w:val="auto"/>
          <w:highlight w:val="none"/>
        </w:rPr>
        <w:instrText xml:space="preserve"> PAGEREF _Toc21713 </w:instrText>
      </w:r>
      <w:r>
        <w:rPr>
          <w:color w:val="auto"/>
          <w:highlight w:val="none"/>
        </w:rPr>
        <w:fldChar w:fldCharType="separate"/>
      </w:r>
      <w:r>
        <w:rPr>
          <w:color w:val="auto"/>
          <w:highlight w:val="none"/>
        </w:rPr>
        <w:t>107</w:t>
      </w:r>
      <w:r>
        <w:rPr>
          <w:color w:val="auto"/>
          <w:highlight w:val="none"/>
        </w:rPr>
        <w:fldChar w:fldCharType="end"/>
      </w:r>
      <w:r>
        <w:rPr>
          <w:rFonts w:hint="eastAsia" w:ascii="宋体" w:hAnsi="宋体" w:cs="宋体"/>
          <w:color w:val="auto"/>
          <w:highlight w:val="none"/>
        </w:rPr>
        <w:fldChar w:fldCharType="end"/>
      </w:r>
    </w:p>
    <w:p>
      <w:pPr>
        <w:pStyle w:val="22"/>
        <w:tabs>
          <w:tab w:val="right" w:leader="dot" w:pos="9070"/>
          <w:tab w:val="clear" w:pos="1260"/>
          <w:tab w:val="clear" w:pos="906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_Toc3261 </w:instrText>
      </w:r>
      <w:r>
        <w:rPr>
          <w:rFonts w:hint="eastAsia" w:ascii="宋体" w:hAnsi="宋体" w:cs="宋体"/>
          <w:color w:val="auto"/>
          <w:highlight w:val="none"/>
        </w:rPr>
        <w:fldChar w:fldCharType="separate"/>
      </w:r>
      <w:r>
        <w:rPr>
          <w:rFonts w:hint="eastAsia" w:ascii="宋体" w:hAnsi="宋体" w:eastAsia="宋体" w:cs="宋体"/>
          <w:color w:val="auto"/>
          <w:szCs w:val="36"/>
          <w:highlight w:val="none"/>
        </w:rPr>
        <w:t>第六章</w:t>
      </w:r>
      <w:r>
        <w:rPr>
          <w:rFonts w:hint="eastAsia" w:ascii="宋体" w:hAnsi="宋体" w:eastAsia="宋体" w:cs="宋体"/>
          <w:color w:val="auto"/>
          <w:szCs w:val="36"/>
          <w:highlight w:val="none"/>
          <w:lang w:val="en-US" w:eastAsia="zh-CN"/>
        </w:rPr>
        <w:t xml:space="preserve">   </w:t>
      </w:r>
      <w:r>
        <w:rPr>
          <w:rFonts w:hint="eastAsia" w:ascii="宋体" w:hAnsi="宋体" w:eastAsia="宋体" w:cs="宋体"/>
          <w:color w:val="auto"/>
          <w:szCs w:val="36"/>
          <w:highlight w:val="none"/>
        </w:rPr>
        <w:t>施工图设计文件</w:t>
      </w:r>
      <w:r>
        <w:rPr>
          <w:color w:val="auto"/>
          <w:highlight w:val="none"/>
        </w:rPr>
        <w:tab/>
      </w:r>
      <w:r>
        <w:rPr>
          <w:color w:val="auto"/>
          <w:highlight w:val="none"/>
        </w:rPr>
        <w:fldChar w:fldCharType="begin"/>
      </w:r>
      <w:r>
        <w:rPr>
          <w:color w:val="auto"/>
          <w:highlight w:val="none"/>
        </w:rPr>
        <w:instrText xml:space="preserve"> PAGEREF _Toc3261 </w:instrText>
      </w:r>
      <w:r>
        <w:rPr>
          <w:color w:val="auto"/>
          <w:highlight w:val="none"/>
        </w:rPr>
        <w:fldChar w:fldCharType="separate"/>
      </w:r>
      <w:r>
        <w:rPr>
          <w:color w:val="auto"/>
          <w:highlight w:val="none"/>
        </w:rPr>
        <w:t>108</w:t>
      </w:r>
      <w:r>
        <w:rPr>
          <w:color w:val="auto"/>
          <w:highlight w:val="none"/>
        </w:rPr>
        <w:fldChar w:fldCharType="end"/>
      </w:r>
      <w:r>
        <w:rPr>
          <w:rFonts w:hint="eastAsia" w:ascii="宋体" w:hAnsi="宋体" w:cs="宋体"/>
          <w:color w:val="auto"/>
          <w:highlight w:val="none"/>
        </w:rPr>
        <w:fldChar w:fldCharType="end"/>
      </w:r>
    </w:p>
    <w:p>
      <w:pPr>
        <w:pStyle w:val="22"/>
        <w:tabs>
          <w:tab w:val="right" w:leader="dot" w:pos="9070"/>
          <w:tab w:val="clear" w:pos="1260"/>
          <w:tab w:val="clear" w:pos="906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_Toc10542 </w:instrText>
      </w:r>
      <w:r>
        <w:rPr>
          <w:rFonts w:hint="eastAsia" w:ascii="宋体" w:hAnsi="宋体" w:cs="宋体"/>
          <w:color w:val="auto"/>
          <w:highlight w:val="none"/>
        </w:rPr>
        <w:fldChar w:fldCharType="separate"/>
      </w:r>
      <w:r>
        <w:rPr>
          <w:rFonts w:hint="eastAsia" w:ascii="宋体" w:hAnsi="宋体" w:eastAsia="宋体" w:cs="宋体"/>
          <w:color w:val="auto"/>
          <w:szCs w:val="36"/>
          <w:highlight w:val="none"/>
        </w:rPr>
        <w:t>第七章</w:t>
      </w:r>
      <w:r>
        <w:rPr>
          <w:rFonts w:hint="eastAsia" w:ascii="宋体" w:hAnsi="宋体" w:eastAsia="宋体" w:cs="宋体"/>
          <w:color w:val="auto"/>
          <w:szCs w:val="36"/>
          <w:highlight w:val="none"/>
          <w:lang w:val="en-US" w:eastAsia="zh-CN"/>
        </w:rPr>
        <w:t xml:space="preserve">   </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_Toc10542 </w:instrText>
      </w:r>
      <w:r>
        <w:rPr>
          <w:color w:val="auto"/>
          <w:highlight w:val="none"/>
        </w:rPr>
        <w:fldChar w:fldCharType="separate"/>
      </w:r>
      <w:r>
        <w:rPr>
          <w:color w:val="auto"/>
          <w:highlight w:val="none"/>
        </w:rPr>
        <w:t>109</w:t>
      </w:r>
      <w:r>
        <w:rPr>
          <w:color w:val="auto"/>
          <w:highlight w:val="none"/>
        </w:rPr>
        <w:fldChar w:fldCharType="end"/>
      </w:r>
      <w:r>
        <w:rPr>
          <w:rFonts w:hint="eastAsia" w:ascii="宋体" w:hAnsi="宋体" w:cs="宋体"/>
          <w:color w:val="auto"/>
          <w:highlight w:val="none"/>
        </w:rPr>
        <w:fldChar w:fldCharType="end"/>
      </w:r>
    </w:p>
    <w:p>
      <w:pPr>
        <w:pStyle w:val="15"/>
        <w:tabs>
          <w:tab w:val="right" w:leader="dot" w:pos="9060"/>
        </w:tabs>
        <w:spacing w:line="240" w:lineRule="auto"/>
        <w:ind w:left="0" w:leftChars="0"/>
        <w:jc w:val="center"/>
        <w:outlineLvl w:val="0"/>
        <w:rPr>
          <w:rFonts w:ascii="宋体" w:hAnsi="宋体" w:cs="宋体"/>
          <w:color w:val="auto"/>
          <w:highlight w:val="none"/>
        </w:rPr>
      </w:pPr>
      <w:r>
        <w:rPr>
          <w:rFonts w:hint="eastAsia" w:ascii="宋体" w:hAnsi="宋体" w:cs="宋体"/>
          <w:color w:val="auto"/>
          <w:highlight w:val="none"/>
        </w:rPr>
        <w:fldChar w:fldCharType="end"/>
      </w:r>
    </w:p>
    <w:p>
      <w:pPr>
        <w:pStyle w:val="15"/>
        <w:tabs>
          <w:tab w:val="right" w:leader="dot" w:pos="9060"/>
        </w:tabs>
        <w:spacing w:line="240" w:lineRule="auto"/>
        <w:ind w:left="0" w:leftChars="0"/>
        <w:jc w:val="center"/>
        <w:outlineLvl w:val="0"/>
        <w:rPr>
          <w:rFonts w:ascii="宋体" w:hAnsi="宋体" w:cs="宋体"/>
          <w:color w:val="auto"/>
          <w:highlight w:val="none"/>
        </w:rPr>
        <w:sectPr>
          <w:headerReference r:id="rId3" w:type="default"/>
          <w:pgSz w:w="11906" w:h="16838"/>
          <w:pgMar w:top="1417" w:right="1418" w:bottom="1417" w:left="1418" w:header="680" w:footer="680" w:gutter="0"/>
          <w:pgNumType w:start="1"/>
          <w:cols w:space="720" w:num="1"/>
          <w:docGrid w:type="lines" w:linePitch="312" w:charSpace="0"/>
        </w:sectPr>
      </w:pPr>
    </w:p>
    <w:p>
      <w:pPr>
        <w:numPr>
          <w:ilvl w:val="0"/>
          <w:numId w:val="1"/>
        </w:numPr>
        <w:jc w:val="center"/>
        <w:rPr>
          <w:rFonts w:ascii="华文中宋" w:hAnsi="华文中宋" w:eastAsia="华文中宋"/>
          <w:b/>
          <w:bCs/>
          <w:color w:val="auto"/>
          <w:kern w:val="44"/>
          <w:sz w:val="32"/>
          <w:szCs w:val="32"/>
          <w:highlight w:val="none"/>
        </w:rPr>
      </w:pPr>
      <w:bookmarkStart w:id="0" w:name="_Toc12698"/>
      <w:bookmarkStart w:id="1" w:name="_Toc17841"/>
      <w:r>
        <w:rPr>
          <w:rStyle w:val="88"/>
          <w:rFonts w:hint="eastAsia" w:ascii="宋体" w:hAnsi="宋体" w:cs="宋体"/>
          <w:b/>
          <w:bCs/>
          <w:color w:val="auto"/>
          <w:sz w:val="32"/>
          <w:szCs w:val="32"/>
          <w:highlight w:val="none"/>
        </w:rPr>
        <w:t xml:space="preserve">  </w:t>
      </w:r>
      <w:bookmarkEnd w:id="0"/>
      <w:bookmarkEnd w:id="1"/>
      <w:bookmarkStart w:id="2" w:name="_Toc28359011"/>
      <w:bookmarkStart w:id="3" w:name="_Toc35393797"/>
      <w:r>
        <w:rPr>
          <w:rFonts w:hint="eastAsia" w:ascii="华文中宋" w:hAnsi="华文中宋" w:eastAsia="华文中宋"/>
          <w:b/>
          <w:bCs/>
          <w:color w:val="auto"/>
          <w:kern w:val="44"/>
          <w:sz w:val="32"/>
          <w:szCs w:val="32"/>
          <w:highlight w:val="none"/>
          <w:lang w:eastAsia="zh-CN"/>
        </w:rPr>
        <w:t>安庆职业技术学院“两站两服务”平台暨青年之家装饰工程</w:t>
      </w:r>
      <w:r>
        <w:rPr>
          <w:rFonts w:hint="eastAsia" w:ascii="华文中宋" w:hAnsi="华文中宋" w:eastAsia="华文中宋"/>
          <w:b/>
          <w:bCs/>
          <w:color w:val="auto"/>
          <w:kern w:val="44"/>
          <w:sz w:val="32"/>
          <w:szCs w:val="32"/>
          <w:highlight w:val="none"/>
        </w:rPr>
        <w:t>竞争性谈判公告</w:t>
      </w:r>
      <w:bookmarkEnd w:id="2"/>
      <w:bookmarkEnd w:id="3"/>
    </w:p>
    <w:tbl>
      <w:tblPr>
        <w:tblStyle w:val="31"/>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ascii="仿宋" w:hAnsi="仿宋" w:eastAsia="仿宋"/>
                <w:color w:val="auto"/>
                <w:sz w:val="28"/>
                <w:szCs w:val="28"/>
                <w:highlight w:val="none"/>
              </w:rPr>
            </w:pPr>
            <w:r>
              <w:rPr>
                <w:rFonts w:hint="eastAsia" w:ascii="仿宋" w:hAnsi="仿宋" w:eastAsia="仿宋"/>
                <w:color w:val="auto"/>
                <w:sz w:val="28"/>
                <w:szCs w:val="28"/>
                <w:highlight w:val="none"/>
              </w:rPr>
              <w:t>项目概况</w:t>
            </w:r>
          </w:p>
          <w:p>
            <w:pPr>
              <w:keepNext w:val="0"/>
              <w:keepLines w:val="0"/>
              <w:suppressLineNumbers w:val="0"/>
              <w:spacing w:before="0" w:beforeAutospacing="0" w:after="0" w:afterAutospacing="0"/>
              <w:ind w:left="0" w:right="0"/>
              <w:rPr>
                <w:rFonts w:hint="default"/>
                <w:color w:val="auto"/>
                <w:highlight w:val="none"/>
              </w:rPr>
            </w:pPr>
            <w:r>
              <w:rPr>
                <w:rFonts w:hint="eastAsia" w:ascii="仿宋" w:hAnsi="仿宋" w:eastAsia="仿宋"/>
                <w:color w:val="auto"/>
                <w:sz w:val="28"/>
                <w:szCs w:val="28"/>
                <w:highlight w:val="none"/>
                <w:u w:val="single"/>
                <w:lang w:eastAsia="zh-CN"/>
              </w:rPr>
              <w:t>安庆职业技术学院“两站两服务”平台暨青年之家装饰工程</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项目的潜在供应商应在</w:t>
            </w:r>
            <w:r>
              <w:rPr>
                <w:rFonts w:hint="eastAsia" w:ascii="仿宋" w:hAnsi="仿宋" w:eastAsia="仿宋"/>
                <w:sz w:val="28"/>
                <w:szCs w:val="28"/>
              </w:rPr>
              <w:t>安庆市公共资源电子交易平台</w:t>
            </w:r>
            <w:r>
              <w:rPr>
                <w:rFonts w:hint="eastAsia" w:ascii="仿宋" w:hAnsi="仿宋" w:eastAsia="仿宋"/>
                <w:color w:val="auto"/>
                <w:sz w:val="28"/>
                <w:szCs w:val="28"/>
                <w:highlight w:val="none"/>
              </w:rPr>
              <w:t>（http://220.179.5.14:90/TPBidder/memberLogin）获取采购文件，并于</w:t>
            </w:r>
            <w:r>
              <w:rPr>
                <w:rFonts w:hint="eastAsia" w:ascii="仿宋" w:hAnsi="仿宋" w:eastAsia="仿宋"/>
                <w:color w:val="auto"/>
                <w:sz w:val="28"/>
                <w:szCs w:val="28"/>
                <w:highlight w:val="none"/>
                <w:lang w:eastAsia="zh-CN"/>
              </w:rPr>
              <w:t>2022年</w:t>
            </w: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lang w:val="en-US" w:eastAsia="zh-CN"/>
              </w:rPr>
              <w:t>29</w:t>
            </w:r>
            <w:r>
              <w:rPr>
                <w:rFonts w:hint="eastAsia" w:ascii="仿宋" w:hAnsi="仿宋" w:eastAsia="仿宋"/>
                <w:color w:val="auto"/>
                <w:sz w:val="28"/>
                <w:szCs w:val="28"/>
                <w:highlight w:val="none"/>
                <w:lang w:eastAsia="zh-CN"/>
              </w:rPr>
              <w:t>日</w:t>
            </w:r>
            <w:r>
              <w:rPr>
                <w:rFonts w:hint="eastAsia" w:ascii="仿宋" w:hAnsi="仿宋" w:eastAsia="仿宋"/>
                <w:color w:val="auto"/>
                <w:sz w:val="28"/>
                <w:szCs w:val="28"/>
                <w:highlight w:val="none"/>
                <w:lang w:val="en-US" w:eastAsia="zh-CN"/>
              </w:rPr>
              <w:t>9点30</w:t>
            </w:r>
            <w:r>
              <w:rPr>
                <w:rFonts w:hint="eastAsia" w:ascii="仿宋" w:hAnsi="仿宋" w:eastAsia="仿宋"/>
                <w:color w:val="auto"/>
                <w:sz w:val="28"/>
                <w:szCs w:val="28"/>
                <w:highlight w:val="none"/>
                <w:lang w:eastAsia="zh-CN"/>
              </w:rPr>
              <w:t>分</w:t>
            </w:r>
            <w:r>
              <w:rPr>
                <w:rFonts w:hint="eastAsia" w:ascii="仿宋" w:hAnsi="仿宋" w:eastAsia="仿宋"/>
                <w:color w:val="auto"/>
                <w:sz w:val="28"/>
                <w:szCs w:val="28"/>
                <w:highlight w:val="none"/>
              </w:rPr>
              <w:t>（北京时间）前提交响应文件。</w:t>
            </w:r>
            <w:r>
              <w:rPr>
                <w:rFonts w:hint="default" w:ascii="Calibri" w:hAnsi="Calibri"/>
                <w:color w:val="auto"/>
                <w:szCs w:val="21"/>
                <w:highlight w:val="none"/>
                <w:lang w:bidi="ar"/>
              </w:rPr>
              <w:t> </w:t>
            </w:r>
          </w:p>
        </w:tc>
      </w:tr>
    </w:tbl>
    <w:p>
      <w:pPr>
        <w:rPr>
          <w:rFonts w:ascii="黑体" w:hAnsi="黑体" w:eastAsia="黑体" w:cs="宋体"/>
          <w:bCs/>
          <w:color w:val="auto"/>
          <w:sz w:val="28"/>
          <w:szCs w:val="28"/>
          <w:highlight w:val="none"/>
        </w:rPr>
      </w:pPr>
      <w:r>
        <w:rPr>
          <w:rFonts w:ascii="Calibri" w:hAnsi="Calibri"/>
          <w:color w:val="auto"/>
          <w:szCs w:val="21"/>
          <w:highlight w:val="none"/>
          <w:lang w:bidi="ar"/>
        </w:rPr>
        <w:t xml:space="preserve"> </w:t>
      </w:r>
      <w:bookmarkStart w:id="4" w:name="_Toc28359089"/>
      <w:bookmarkStart w:id="5" w:name="_Toc35393629"/>
      <w:bookmarkStart w:id="6" w:name="_Toc28359012"/>
      <w:bookmarkStart w:id="7" w:name="_Toc35393798"/>
      <w:r>
        <w:rPr>
          <w:rFonts w:hint="eastAsia" w:ascii="黑体" w:hAnsi="黑体" w:eastAsia="黑体" w:cs="宋体"/>
          <w:bCs/>
          <w:color w:val="auto"/>
          <w:sz w:val="28"/>
          <w:szCs w:val="28"/>
          <w:highlight w:val="none"/>
        </w:rPr>
        <w:t>一、项目基本情况</w:t>
      </w:r>
      <w:bookmarkEnd w:id="4"/>
      <w:bookmarkEnd w:id="5"/>
      <w:bookmarkEnd w:id="6"/>
      <w:bookmarkEnd w:id="7"/>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项目编号：</w:t>
      </w:r>
      <w:r>
        <w:rPr>
          <w:rFonts w:hint="eastAsia" w:ascii="仿宋" w:hAnsi="仿宋" w:eastAsia="仿宋" w:cs="Times New Roman"/>
          <w:color w:val="auto"/>
          <w:sz w:val="28"/>
          <w:szCs w:val="28"/>
          <w:highlight w:val="none"/>
          <w:lang w:val="en-US" w:eastAsia="zh-CN"/>
        </w:rPr>
        <w:t>CG-AQ-2022-1084   FS34080120221173号</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安庆职业技术学院“两站两服务”平台暨青年之家装饰工程</w:t>
      </w:r>
      <w:r>
        <w:rPr>
          <w:rFonts w:hint="eastAsia" w:ascii="仿宋" w:hAnsi="仿宋" w:eastAsia="仿宋"/>
          <w:color w:val="auto"/>
          <w:sz w:val="28"/>
          <w:szCs w:val="28"/>
          <w:highlight w:val="none"/>
          <w:lang w:val="en-US" w:eastAsia="zh-CN"/>
        </w:rPr>
        <w:t xml:space="preserve">   </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采购方式：竞争性谈判 </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810000元</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eastAsia="zh-CN"/>
        </w:rPr>
        <w:t>752835.92</w:t>
      </w:r>
      <w:r>
        <w:rPr>
          <w:rFonts w:hint="eastAsia" w:ascii="仿宋" w:hAnsi="仿宋" w:eastAsia="仿宋"/>
          <w:color w:val="auto"/>
          <w:sz w:val="28"/>
          <w:szCs w:val="28"/>
          <w:highlight w:val="none"/>
          <w:lang w:val="en-US" w:eastAsia="zh-CN"/>
        </w:rPr>
        <w:t xml:space="preserve">元   </w:t>
      </w:r>
    </w:p>
    <w:p>
      <w:pPr>
        <w:ind w:firstLine="560" w:firstLineChars="20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本项目为</w:t>
      </w:r>
      <w:r>
        <w:rPr>
          <w:rFonts w:hint="eastAsia" w:ascii="仿宋" w:hAnsi="仿宋" w:eastAsia="仿宋"/>
          <w:color w:val="auto"/>
          <w:sz w:val="28"/>
          <w:szCs w:val="28"/>
          <w:highlight w:val="none"/>
          <w:lang w:eastAsia="zh-CN"/>
        </w:rPr>
        <w:t>安庆职业技术学院“两站两服务”平台暨青年之家装饰工程</w:t>
      </w:r>
      <w:r>
        <w:rPr>
          <w:rFonts w:hint="eastAsia" w:ascii="仿宋" w:hAnsi="仿宋" w:eastAsia="仿宋"/>
          <w:color w:val="auto"/>
          <w:sz w:val="28"/>
          <w:szCs w:val="28"/>
          <w:highlight w:val="none"/>
          <w:lang w:val="en-US" w:eastAsia="zh-CN"/>
        </w:rPr>
        <w:t>。详见施工图设计文件及工程量清单最高谈判限价</w:t>
      </w:r>
      <w:r>
        <w:rPr>
          <w:rFonts w:hint="eastAsia" w:ascii="仿宋" w:hAnsi="仿宋" w:eastAsia="仿宋"/>
          <w:color w:val="auto"/>
          <w:sz w:val="28"/>
          <w:szCs w:val="28"/>
          <w:highlight w:val="none"/>
        </w:rPr>
        <w:t>。</w:t>
      </w:r>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评标办法：</w:t>
      </w:r>
      <w:r>
        <w:rPr>
          <w:rFonts w:hint="eastAsia" w:ascii="仿宋" w:hAnsi="仿宋" w:eastAsia="仿宋"/>
          <w:color w:val="auto"/>
          <w:sz w:val="28"/>
          <w:szCs w:val="28"/>
          <w:highlight w:val="none"/>
          <w:lang w:val="en-US" w:eastAsia="zh-CN"/>
        </w:rPr>
        <w:t>有效最低价</w:t>
      </w:r>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30日历天</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w:t>
      </w:r>
    </w:p>
    <w:p>
      <w:pPr>
        <w:rPr>
          <w:rFonts w:ascii="黑体" w:hAnsi="黑体" w:eastAsia="黑体" w:cs="宋体"/>
          <w:bCs/>
          <w:color w:val="auto"/>
          <w:sz w:val="28"/>
          <w:szCs w:val="28"/>
          <w:highlight w:val="none"/>
        </w:rPr>
      </w:pPr>
      <w:bookmarkStart w:id="8" w:name="_Toc35393630"/>
      <w:bookmarkStart w:id="9" w:name="_Toc28359090"/>
      <w:bookmarkStart w:id="10" w:name="_Toc28359013"/>
      <w:bookmarkStart w:id="11" w:name="_Toc35393799"/>
      <w:r>
        <w:rPr>
          <w:rFonts w:hint="eastAsia" w:ascii="黑体" w:hAnsi="黑体" w:eastAsia="黑体" w:cs="宋体"/>
          <w:bCs/>
          <w:color w:val="auto"/>
          <w:sz w:val="28"/>
          <w:szCs w:val="28"/>
          <w:highlight w:val="none"/>
        </w:rPr>
        <w:t>二、申请人的资格要求：</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auto"/>
          <w:sz w:val="28"/>
          <w:szCs w:val="28"/>
          <w:highlight w:val="none"/>
        </w:rPr>
      </w:pPr>
      <w:bookmarkStart w:id="12" w:name="_Toc35393800"/>
      <w:bookmarkStart w:id="13" w:name="_Toc35393631"/>
      <w:bookmarkStart w:id="14" w:name="_Toc28359091"/>
      <w:bookmarkStart w:id="15" w:name="_Toc28359014"/>
      <w:r>
        <w:rPr>
          <w:rFonts w:hint="eastAsia" w:ascii="仿宋" w:hAnsi="仿宋" w:eastAsia="仿宋"/>
          <w:color w:val="auto"/>
          <w:sz w:val="28"/>
          <w:szCs w:val="28"/>
          <w:highlight w:val="none"/>
        </w:rPr>
        <w:t>1.满足《中华人民共和国政府采购法》第二十二条规定；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86" w:beforeAutospacing="0" w:after="0" w:afterAutospacing="0"/>
        <w:ind w:left="0" w:right="0" w:firstLine="565" w:firstLineChars="202"/>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2.落实政府采购政策需满足的资格要求：</w:t>
      </w:r>
      <w:r>
        <w:rPr>
          <w:rFonts w:ascii="仿宋" w:hAnsi="仿宋" w:eastAsia="仿宋" w:cs="仿宋"/>
          <w:color w:val="000000"/>
          <w:kern w:val="0"/>
          <w:sz w:val="28"/>
          <w:szCs w:val="28"/>
          <w:lang w:val="en-US" w:eastAsia="zh-CN" w:bidi="ar"/>
        </w:rPr>
        <w:t>根据《政府采购促进中小企业发展管理办法》（财库〔2020〕46号）的相关规定，本项目属于专门面向中小企业采购的项目, 供应商须为中小微企业。残疾人福利性单位、监狱单位视同小型、微型企业，享受本项目专门面向中小企业采购的政策。（中小微企业投标的出具《中小企业声明函》，监狱企业投标的提供由省级以上监狱管理局、戒毒管理局(含新疆生产建设兵团)出具的属于监狱企业的证明文件，不用再提供《中小企业声明函》；残疾人福利性单位投标的提供《残疾人福利性单位声明函》，不用再提供《中小企业声明函》）</w:t>
      </w:r>
      <w:r>
        <w:rPr>
          <w:rFonts w:hint="eastAsia" w:ascii="仿宋" w:hAnsi="仿宋" w:eastAsia="仿宋" w:cs="仿宋"/>
          <w:color w:val="000000"/>
          <w:kern w:val="0"/>
          <w:sz w:val="28"/>
          <w:szCs w:val="28"/>
          <w:lang w:val="en-US" w:eastAsia="zh-CN" w:bidi="ar"/>
        </w:rPr>
        <w:t>；</w:t>
      </w:r>
    </w:p>
    <w:p>
      <w:pPr>
        <w:spacing w:line="360" w:lineRule="auto"/>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3.本项目的特定资格要求：（1）谈判响应人须具有独立法人资格，具备住房城乡建设主管部门颁发的建筑装修装饰工程专业承包贰级及以上资质。</w:t>
      </w:r>
    </w:p>
    <w:p>
      <w:pPr>
        <w:spacing w:line="360" w:lineRule="auto"/>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（2）拟派本工程项目经理资格要求：同时具备下列①、②、③要求：</w:t>
      </w:r>
    </w:p>
    <w:p>
      <w:pPr>
        <w:spacing w:line="360" w:lineRule="auto"/>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①具有建筑工程专业二级及以上注册建造师执业资格；</w:t>
      </w:r>
    </w:p>
    <w:p>
      <w:pPr>
        <w:spacing w:line="360" w:lineRule="auto"/>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②取得建设行政主管部门颁发的安全生产考核合格证B证；</w:t>
      </w:r>
    </w:p>
    <w:p>
      <w:pPr>
        <w:spacing w:line="360" w:lineRule="auto"/>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③谈判响应截止日未在其他项目担任项目经理，或虽在其他项目上担任项目经理岗位，但承诺在本项目成交后合同签订前能够从其他项目变更至本项目并全面履约。</w:t>
      </w:r>
    </w:p>
    <w:p>
      <w:pPr>
        <w:spacing w:line="360" w:lineRule="auto"/>
        <w:ind w:firstLine="560" w:firstLineChars="200"/>
        <w:rPr>
          <w:rFonts w:hint="eastAsia" w:ascii="仿宋" w:hAnsi="仿宋" w:eastAsia="仿宋"/>
          <w:color w:val="auto"/>
          <w:sz w:val="28"/>
          <w:szCs w:val="28"/>
          <w:highlight w:val="none"/>
        </w:rPr>
      </w:pPr>
    </w:p>
    <w:p>
      <w:pPr>
        <w:numPr>
          <w:ilvl w:val="0"/>
          <w:numId w:val="0"/>
        </w:numPr>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2"/>
      <w:bookmarkEnd w:id="13"/>
      <w:bookmarkEnd w:id="14"/>
      <w:bookmarkEnd w:id="15"/>
    </w:p>
    <w:p>
      <w:pPr>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11</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18</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11</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23</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，每天上午8:0</w:t>
      </w:r>
      <w:r>
        <w:rPr>
          <w:rFonts w:ascii="仿宋" w:hAnsi="仿宋" w:eastAsia="仿宋" w:cs="宋体"/>
          <w:color w:val="auto"/>
          <w:sz w:val="28"/>
          <w:szCs w:val="28"/>
          <w:highlight w:val="none"/>
        </w:rPr>
        <w:t>0</w:t>
      </w:r>
      <w:r>
        <w:rPr>
          <w:rFonts w:hint="eastAsia" w:ascii="仿宋" w:hAnsi="仿宋" w:eastAsia="仿宋" w:cs="宋体"/>
          <w:color w:val="auto"/>
          <w:sz w:val="28"/>
          <w:szCs w:val="28"/>
          <w:highlight w:val="none"/>
        </w:rPr>
        <w:t>至1</w:t>
      </w:r>
      <w:r>
        <w:rPr>
          <w:rFonts w:ascii="仿宋" w:hAnsi="仿宋" w:eastAsia="仿宋" w:cs="宋体"/>
          <w:color w:val="auto"/>
          <w:sz w:val="28"/>
          <w:szCs w:val="28"/>
          <w:highlight w:val="none"/>
        </w:rPr>
        <w:t>2</w:t>
      </w:r>
      <w:r>
        <w:rPr>
          <w:rFonts w:hint="eastAsia" w:ascii="仿宋" w:hAnsi="仿宋" w:eastAsia="仿宋" w:cs="宋体"/>
          <w:color w:val="auto"/>
          <w:sz w:val="28"/>
          <w:szCs w:val="28"/>
          <w:highlight w:val="none"/>
        </w:rPr>
        <w:t>:0</w:t>
      </w:r>
      <w:r>
        <w:rPr>
          <w:rFonts w:ascii="仿宋" w:hAnsi="仿宋" w:eastAsia="仿宋" w:cs="宋体"/>
          <w:color w:val="auto"/>
          <w:sz w:val="28"/>
          <w:szCs w:val="28"/>
          <w:highlight w:val="none"/>
        </w:rPr>
        <w:t>0</w:t>
      </w:r>
      <w:r>
        <w:rPr>
          <w:rFonts w:hint="eastAsia" w:ascii="仿宋" w:hAnsi="仿宋" w:eastAsia="仿宋" w:cs="宋体"/>
          <w:color w:val="auto"/>
          <w:sz w:val="28"/>
          <w:szCs w:val="28"/>
          <w:highlight w:val="none"/>
        </w:rPr>
        <w:t>，下午1</w:t>
      </w:r>
      <w:r>
        <w:rPr>
          <w:rFonts w:ascii="仿宋" w:hAnsi="仿宋" w:eastAsia="仿宋" w:cs="宋体"/>
          <w:color w:val="auto"/>
          <w:sz w:val="28"/>
          <w:szCs w:val="28"/>
          <w:highlight w:val="none"/>
        </w:rPr>
        <w:t>4</w:t>
      </w:r>
      <w:r>
        <w:rPr>
          <w:rFonts w:hint="eastAsia" w:ascii="仿宋" w:hAnsi="仿宋" w:eastAsia="仿宋" w:cs="宋体"/>
          <w:color w:val="auto"/>
          <w:sz w:val="28"/>
          <w:szCs w:val="28"/>
          <w:highlight w:val="none"/>
        </w:rPr>
        <w:t>:3</w:t>
      </w:r>
      <w:r>
        <w:rPr>
          <w:rFonts w:ascii="仿宋" w:hAnsi="仿宋" w:eastAsia="仿宋" w:cs="宋体"/>
          <w:color w:val="auto"/>
          <w:sz w:val="28"/>
          <w:szCs w:val="28"/>
          <w:highlight w:val="none"/>
        </w:rPr>
        <w:t>0</w:t>
      </w:r>
      <w:r>
        <w:rPr>
          <w:rFonts w:hint="eastAsia" w:ascii="仿宋" w:hAnsi="仿宋" w:eastAsia="仿宋" w:cs="宋体"/>
          <w:color w:val="auto"/>
          <w:sz w:val="28"/>
          <w:szCs w:val="28"/>
          <w:highlight w:val="none"/>
        </w:rPr>
        <w:t>至1</w:t>
      </w:r>
      <w:r>
        <w:rPr>
          <w:rFonts w:ascii="仿宋" w:hAnsi="仿宋" w:eastAsia="仿宋" w:cs="宋体"/>
          <w:color w:val="auto"/>
          <w:sz w:val="28"/>
          <w:szCs w:val="28"/>
          <w:highlight w:val="none"/>
        </w:rPr>
        <w:t>7</w:t>
      </w:r>
      <w:r>
        <w:rPr>
          <w:rFonts w:hint="eastAsia" w:ascii="仿宋" w:hAnsi="仿宋" w:eastAsia="仿宋" w:cs="宋体"/>
          <w:color w:val="auto"/>
          <w:sz w:val="28"/>
          <w:szCs w:val="28"/>
          <w:highlight w:val="none"/>
        </w:rPr>
        <w:t>:3</w:t>
      </w:r>
      <w:r>
        <w:rPr>
          <w:rFonts w:ascii="仿宋" w:hAnsi="仿宋" w:eastAsia="仿宋" w:cs="宋体"/>
          <w:color w:val="auto"/>
          <w:sz w:val="28"/>
          <w:szCs w:val="28"/>
          <w:highlight w:val="none"/>
        </w:rPr>
        <w:t>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ind w:firstLine="565" w:firstLineChars="202"/>
        <w:rPr>
          <w:rFonts w:ascii="仿宋" w:hAnsi="仿宋" w:eastAsia="仿宋" w:cs="宋体"/>
          <w:sz w:val="28"/>
          <w:szCs w:val="28"/>
          <w:u w:val="single"/>
        </w:rPr>
      </w:pPr>
      <w:r>
        <w:rPr>
          <w:rFonts w:hint="eastAsia" w:ascii="仿宋" w:hAnsi="仿宋" w:eastAsia="仿宋" w:cs="宋体"/>
          <w:color w:val="auto"/>
          <w:sz w:val="28"/>
          <w:szCs w:val="28"/>
          <w:highlight w:val="none"/>
        </w:rPr>
        <w:t>地点</w:t>
      </w:r>
      <w:r>
        <w:rPr>
          <w:rFonts w:hint="eastAsia" w:ascii="仿宋" w:hAnsi="仿宋" w:eastAsia="仿宋" w:cs="宋体"/>
          <w:sz w:val="28"/>
          <w:szCs w:val="28"/>
        </w:rPr>
        <w:t>：安庆市公共资源电子交易平台（http://220.179.5.14:90/TPBidder/memberLogin）</w:t>
      </w:r>
    </w:p>
    <w:p>
      <w:pPr>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 xml:space="preserve">方式：（1）供应商须登录安庆市公共资源交易中心平台查询、获取采购文件。首次登录须在安徽省公共资源交易市场主体库（ http://61.190.70.20/ahggfwpt-zhutiku/dengludenglu）办理入库手续，办理入库不收取任何费用。安徽省公共资源交易市场主体库使用相关问题（如系统登录、信息登记、录入及提交、数字证书关联等）请拨打服务电话：010-86483801 转 5-2（工作日）。  </w:t>
      </w:r>
    </w:p>
    <w:p>
      <w:pPr>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CA 数字证书有关问题请拨打服务电话：安徽 CA 客服400-880-4959（工作日）。</w:t>
      </w:r>
    </w:p>
    <w:p>
      <w:pPr>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市场主体招标环节和投标环节系统使用服务电话：400-998-0000（8:00-21:00）。</w:t>
      </w:r>
    </w:p>
    <w:p>
      <w:pPr>
        <w:ind w:firstLine="565" w:firstLineChars="202"/>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（2）供应商登录安庆市公共资源交易中心平台获取采购文件及其它资料（含澄清和补充说明等）。如在采购文件获取过程中遇到系统问题，请拨打技术支持服务热线400-9980000，QQ：4008503300。</w:t>
      </w:r>
    </w:p>
    <w:p>
      <w:pPr>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pPr>
        <w:rPr>
          <w:rFonts w:ascii="黑体" w:hAnsi="黑体" w:eastAsia="黑体" w:cs="宋体"/>
          <w:bCs/>
          <w:color w:val="auto"/>
          <w:sz w:val="28"/>
          <w:szCs w:val="28"/>
          <w:highlight w:val="none"/>
        </w:rPr>
      </w:pPr>
      <w:bookmarkStart w:id="16" w:name="_Toc35393632"/>
      <w:bookmarkStart w:id="17" w:name="_Toc28359015"/>
      <w:bookmarkStart w:id="18" w:name="_Toc28359092"/>
      <w:bookmarkStart w:id="19" w:name="_Toc35393801"/>
      <w:r>
        <w:rPr>
          <w:rFonts w:hint="eastAsia" w:ascii="黑体" w:hAnsi="黑体" w:eastAsia="黑体" w:cs="宋体"/>
          <w:bCs/>
          <w:color w:val="auto"/>
          <w:sz w:val="28"/>
          <w:szCs w:val="28"/>
          <w:highlight w:val="none"/>
        </w:rPr>
        <w:t>四、响应文件提交</w:t>
      </w:r>
      <w:bookmarkEnd w:id="16"/>
      <w:bookmarkEnd w:id="17"/>
      <w:bookmarkEnd w:id="18"/>
      <w:bookmarkEnd w:id="19"/>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none"/>
          <w:lang w:eastAsia="zh-CN"/>
        </w:rPr>
        <w:t>2022年</w:t>
      </w:r>
      <w:r>
        <w:rPr>
          <w:rFonts w:hint="eastAsia" w:ascii="仿宋" w:hAnsi="仿宋" w:eastAsia="仿宋"/>
          <w:color w:val="auto"/>
          <w:sz w:val="28"/>
          <w:szCs w:val="28"/>
          <w:highlight w:val="none"/>
          <w:u w:val="none"/>
          <w:lang w:val="en-US" w:eastAsia="zh-CN"/>
        </w:rPr>
        <w:t>11</w:t>
      </w:r>
      <w:r>
        <w:rPr>
          <w:rFonts w:hint="eastAsia" w:ascii="仿宋" w:hAnsi="仿宋" w:eastAsia="仿宋"/>
          <w:color w:val="auto"/>
          <w:sz w:val="28"/>
          <w:szCs w:val="28"/>
          <w:highlight w:val="none"/>
          <w:u w:val="none"/>
          <w:lang w:eastAsia="zh-CN"/>
        </w:rPr>
        <w:t>月</w:t>
      </w:r>
      <w:r>
        <w:rPr>
          <w:rFonts w:hint="eastAsia" w:ascii="仿宋" w:hAnsi="仿宋" w:eastAsia="仿宋"/>
          <w:color w:val="auto"/>
          <w:sz w:val="28"/>
          <w:szCs w:val="28"/>
          <w:highlight w:val="none"/>
          <w:u w:val="none"/>
          <w:lang w:val="en-US" w:eastAsia="zh-CN"/>
        </w:rPr>
        <w:t>29</w:t>
      </w:r>
      <w:r>
        <w:rPr>
          <w:rFonts w:hint="eastAsia" w:ascii="仿宋" w:hAnsi="仿宋" w:eastAsia="仿宋"/>
          <w:color w:val="auto"/>
          <w:sz w:val="28"/>
          <w:szCs w:val="28"/>
          <w:highlight w:val="none"/>
          <w:u w:val="none"/>
          <w:lang w:eastAsia="zh-CN"/>
        </w:rPr>
        <w:t>日</w:t>
      </w:r>
      <w:r>
        <w:rPr>
          <w:rFonts w:hint="eastAsia" w:ascii="仿宋" w:hAnsi="仿宋" w:eastAsia="仿宋"/>
          <w:color w:val="auto"/>
          <w:sz w:val="28"/>
          <w:szCs w:val="28"/>
          <w:highlight w:val="none"/>
          <w:u w:val="none"/>
          <w:lang w:val="en-US" w:eastAsia="zh-CN"/>
        </w:rPr>
        <w:t xml:space="preserve"> 9点30 </w:t>
      </w:r>
      <w:r>
        <w:rPr>
          <w:rFonts w:hint="eastAsia" w:ascii="仿宋" w:hAnsi="仿宋" w:eastAsia="仿宋"/>
          <w:color w:val="auto"/>
          <w:sz w:val="28"/>
          <w:szCs w:val="28"/>
          <w:highlight w:val="none"/>
          <w:u w:val="none"/>
          <w:lang w:eastAsia="zh-CN"/>
        </w:rPr>
        <w:t>分</w:t>
      </w:r>
      <w:r>
        <w:rPr>
          <w:rFonts w:hint="eastAsia" w:ascii="仿宋" w:hAnsi="仿宋" w:eastAsia="仿宋"/>
          <w:bCs/>
          <w:color w:val="auto"/>
          <w:sz w:val="28"/>
          <w:szCs w:val="28"/>
          <w:highlight w:val="none"/>
        </w:rPr>
        <w:t>（北京时间）</w:t>
      </w:r>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宋体"/>
          <w:kern w:val="0"/>
          <w:sz w:val="28"/>
          <w:szCs w:val="28"/>
        </w:rPr>
        <w:t>安庆市公共资源电子交易平台</w:t>
      </w:r>
    </w:p>
    <w:p>
      <w:pPr>
        <w:rPr>
          <w:rFonts w:ascii="黑体" w:hAnsi="黑体" w:eastAsia="黑体" w:cs="宋体"/>
          <w:bCs/>
          <w:color w:val="auto"/>
          <w:sz w:val="28"/>
          <w:szCs w:val="28"/>
          <w:highlight w:val="none"/>
        </w:rPr>
      </w:pPr>
      <w:bookmarkStart w:id="20" w:name="_Toc28359016"/>
      <w:bookmarkStart w:id="21" w:name="_Toc28359093"/>
      <w:bookmarkStart w:id="22" w:name="_Toc35393802"/>
      <w:bookmarkStart w:id="23" w:name="_Toc35393633"/>
      <w:r>
        <w:rPr>
          <w:rFonts w:hint="eastAsia" w:ascii="黑体" w:hAnsi="黑体" w:eastAsia="黑体" w:cs="宋体"/>
          <w:bCs/>
          <w:color w:val="auto"/>
          <w:sz w:val="28"/>
          <w:szCs w:val="28"/>
          <w:highlight w:val="none"/>
        </w:rPr>
        <w:t>五、开启</w:t>
      </w:r>
      <w:bookmarkEnd w:id="20"/>
      <w:bookmarkEnd w:id="21"/>
      <w:bookmarkEnd w:id="22"/>
      <w:bookmarkEnd w:id="23"/>
    </w:p>
    <w:p>
      <w:pPr>
        <w:ind w:firstLine="565" w:firstLineChars="202"/>
        <w:rPr>
          <w:rFonts w:hint="eastAsia" w:ascii="仿宋" w:hAnsi="仿宋" w:eastAsia="仿宋"/>
          <w:color w:val="auto"/>
          <w:sz w:val="28"/>
          <w:szCs w:val="28"/>
          <w:highlight w:val="none"/>
          <w:u w:val="single"/>
          <w:lang w:eastAsia="zh-CN"/>
        </w:rPr>
      </w:pPr>
      <w:bookmarkStart w:id="24" w:name="_Toc28359017"/>
      <w:bookmarkStart w:id="25" w:name="_Toc35393634"/>
      <w:bookmarkStart w:id="26" w:name="_Toc28359094"/>
      <w:bookmarkStart w:id="27" w:name="_Toc35393803"/>
      <w:r>
        <w:rPr>
          <w:rFonts w:hint="eastAsia" w:ascii="仿宋" w:hAnsi="仿宋" w:eastAsia="仿宋" w:cs="宋体"/>
          <w:color w:val="auto"/>
          <w:kern w:val="0"/>
          <w:sz w:val="28"/>
          <w:szCs w:val="28"/>
          <w:highlight w:val="none"/>
        </w:rPr>
        <w:t>时间：</w:t>
      </w:r>
      <w:r>
        <w:rPr>
          <w:rFonts w:hint="eastAsia" w:ascii="仿宋" w:hAnsi="仿宋" w:eastAsia="仿宋"/>
          <w:color w:val="auto"/>
          <w:sz w:val="28"/>
          <w:szCs w:val="28"/>
          <w:highlight w:val="none"/>
          <w:u w:val="none"/>
          <w:lang w:eastAsia="zh-CN"/>
        </w:rPr>
        <w:t>2022年</w:t>
      </w:r>
      <w:r>
        <w:rPr>
          <w:rFonts w:hint="eastAsia" w:ascii="仿宋" w:hAnsi="仿宋" w:eastAsia="仿宋"/>
          <w:color w:val="auto"/>
          <w:sz w:val="28"/>
          <w:szCs w:val="28"/>
          <w:highlight w:val="none"/>
          <w:u w:val="none"/>
          <w:lang w:val="en-US" w:eastAsia="zh-CN"/>
        </w:rPr>
        <w:t>11</w:t>
      </w:r>
      <w:r>
        <w:rPr>
          <w:rFonts w:hint="eastAsia" w:ascii="仿宋" w:hAnsi="仿宋" w:eastAsia="仿宋"/>
          <w:color w:val="auto"/>
          <w:sz w:val="28"/>
          <w:szCs w:val="28"/>
          <w:highlight w:val="none"/>
          <w:u w:val="none"/>
          <w:lang w:eastAsia="zh-CN"/>
        </w:rPr>
        <w:t>月</w:t>
      </w:r>
      <w:r>
        <w:rPr>
          <w:rFonts w:hint="eastAsia" w:ascii="仿宋" w:hAnsi="仿宋" w:eastAsia="仿宋"/>
          <w:color w:val="auto"/>
          <w:sz w:val="28"/>
          <w:szCs w:val="28"/>
          <w:highlight w:val="none"/>
          <w:u w:val="none"/>
          <w:lang w:val="en-US" w:eastAsia="zh-CN"/>
        </w:rPr>
        <w:t>29</w:t>
      </w:r>
      <w:r>
        <w:rPr>
          <w:rFonts w:hint="eastAsia" w:ascii="仿宋" w:hAnsi="仿宋" w:eastAsia="仿宋"/>
          <w:color w:val="auto"/>
          <w:sz w:val="28"/>
          <w:szCs w:val="28"/>
          <w:highlight w:val="none"/>
          <w:u w:val="none"/>
          <w:lang w:eastAsia="zh-CN"/>
        </w:rPr>
        <w:t>日</w:t>
      </w:r>
      <w:r>
        <w:rPr>
          <w:rFonts w:hint="eastAsia" w:ascii="仿宋" w:hAnsi="仿宋" w:eastAsia="仿宋"/>
          <w:color w:val="auto"/>
          <w:sz w:val="28"/>
          <w:szCs w:val="28"/>
          <w:highlight w:val="none"/>
          <w:u w:val="none"/>
          <w:lang w:val="en-US" w:eastAsia="zh-CN"/>
        </w:rPr>
        <w:t>9 点30</w:t>
      </w:r>
      <w:r>
        <w:rPr>
          <w:rFonts w:hint="eastAsia" w:ascii="仿宋" w:hAnsi="仿宋" w:eastAsia="仿宋"/>
          <w:color w:val="auto"/>
          <w:sz w:val="28"/>
          <w:szCs w:val="28"/>
          <w:highlight w:val="none"/>
          <w:u w:val="none"/>
          <w:lang w:eastAsia="zh-CN"/>
        </w:rPr>
        <w:t>分（</w:t>
      </w:r>
      <w:r>
        <w:rPr>
          <w:rFonts w:hint="eastAsia" w:ascii="仿宋" w:hAnsi="仿宋" w:eastAsia="仿宋"/>
          <w:color w:val="auto"/>
          <w:sz w:val="28"/>
          <w:szCs w:val="28"/>
          <w:highlight w:val="none"/>
          <w:u w:val="none"/>
          <w:lang w:val="en-US" w:eastAsia="zh-CN"/>
        </w:rPr>
        <w:t>北京时间</w:t>
      </w:r>
      <w:r>
        <w:rPr>
          <w:rFonts w:hint="eastAsia" w:ascii="仿宋" w:hAnsi="仿宋" w:eastAsia="仿宋"/>
          <w:color w:val="auto"/>
          <w:sz w:val="28"/>
          <w:szCs w:val="28"/>
          <w:highlight w:val="none"/>
          <w:u w:val="none"/>
          <w:lang w:eastAsia="zh-CN"/>
        </w:rPr>
        <w:t>）</w:t>
      </w:r>
    </w:p>
    <w:p>
      <w:pPr>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地点：</w:t>
      </w:r>
      <w:r>
        <w:rPr>
          <w:rFonts w:hint="eastAsia" w:ascii="仿宋" w:hAnsi="仿宋" w:eastAsia="仿宋" w:cs="宋体"/>
          <w:kern w:val="0"/>
          <w:sz w:val="28"/>
          <w:szCs w:val="28"/>
        </w:rPr>
        <w:t>安庆市公共资源电子交易平台</w:t>
      </w:r>
    </w:p>
    <w:p>
      <w:pPr>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开评标方式：全流程电子化交易，在线开标</w:t>
      </w:r>
    </w:p>
    <w:p>
      <w:pPr>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4"/>
      <w:bookmarkEnd w:id="25"/>
      <w:bookmarkEnd w:id="26"/>
      <w:bookmarkEnd w:id="27"/>
    </w:p>
    <w:p>
      <w:pPr>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自本公告发布之日起3个工作日。</w:t>
      </w:r>
    </w:p>
    <w:p>
      <w:pPr>
        <w:rPr>
          <w:rFonts w:ascii="黑体" w:hAnsi="黑体" w:eastAsia="黑体" w:cs="宋体"/>
          <w:bCs/>
          <w:color w:val="auto"/>
          <w:sz w:val="28"/>
          <w:szCs w:val="28"/>
          <w:highlight w:val="none"/>
        </w:rPr>
      </w:pPr>
      <w:bookmarkStart w:id="28" w:name="_Toc35393804"/>
      <w:bookmarkStart w:id="29" w:name="_Toc35393635"/>
      <w:r>
        <w:rPr>
          <w:rFonts w:hint="eastAsia" w:ascii="黑体" w:hAnsi="黑体" w:eastAsia="黑体" w:cs="宋体"/>
          <w:bCs/>
          <w:color w:val="auto"/>
          <w:sz w:val="28"/>
          <w:szCs w:val="28"/>
          <w:highlight w:val="none"/>
        </w:rPr>
        <w:t>七、其他补充事宜</w:t>
      </w:r>
      <w:bookmarkEnd w:id="28"/>
      <w:bookmarkEnd w:id="29"/>
    </w:p>
    <w:p>
      <w:pPr>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供应商的联系人电话(手机)、电子邮箱等通讯方式在谈判或磋商过程中必须保持畅通，否则因上述原因造成的后果，责任自负。</w:t>
      </w:r>
    </w:p>
    <w:p>
      <w:pPr>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本项目采用电子招投标方式，请供应商在“安庆市公共资源交易服务网”下载专区下载“电子招投标系统平台操作手册”、在“安庆市公共资源电子交易平台”登陆页面—点击“投标文件制作软件下载”和“驱动下载”按钮下载电子投标文件（响应文件）制作工具等，仔细阅读采购文件要求和相关操作手册。</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w:t>
      </w:r>
      <w:r>
        <w:rPr>
          <w:rFonts w:ascii="仿宋" w:hAnsi="仿宋" w:eastAsia="仿宋"/>
          <w:color w:val="auto"/>
          <w:sz w:val="28"/>
          <w:szCs w:val="28"/>
          <w:highlight w:val="none"/>
        </w:rPr>
        <w:t>.</w:t>
      </w:r>
      <w:r>
        <w:rPr>
          <w:rFonts w:hint="eastAsia" w:ascii="仿宋" w:hAnsi="仿宋" w:eastAsia="仿宋"/>
          <w:color w:val="auto"/>
          <w:sz w:val="28"/>
          <w:szCs w:val="28"/>
          <w:highlight w:val="none"/>
        </w:rPr>
        <w:t>响应文件中安徽省公共资源交易市场主体库网址链接不视为响应文件组成部分，供应商须严格按照采购文件要求的格式进行编制响应文件。</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w:t>
      </w:r>
      <w:r>
        <w:rPr>
          <w:rFonts w:hint="eastAsia" w:ascii="仿宋" w:hAnsi="仿宋" w:eastAsia="仿宋"/>
          <w:color w:val="auto"/>
          <w:sz w:val="28"/>
          <w:szCs w:val="28"/>
          <w:highlight w:val="none"/>
          <w:lang w:eastAsia="zh-CN"/>
        </w:rPr>
        <w:t>.</w:t>
      </w:r>
      <w:bookmarkStart w:id="403" w:name="_GoBack"/>
      <w:bookmarkEnd w:id="403"/>
      <w:r>
        <w:rPr>
          <w:rFonts w:hint="eastAsia" w:ascii="仿宋" w:hAnsi="仿宋" w:eastAsia="仿宋"/>
          <w:color w:val="auto"/>
          <w:sz w:val="28"/>
          <w:szCs w:val="28"/>
          <w:highlight w:val="none"/>
        </w:rPr>
        <w:t>本项目开评标实行全流程电子化，开标活动在线完成。开标时谈判响应人不得到达开标现场，不接受现场解密，实行远程解密和在线询标。各谈判响应人认真学习《安庆新系统投标单位操作手册v1.0》，务必掌握远程解密方法和在线回复询标方法。</w:t>
      </w:r>
    </w:p>
    <w:p>
      <w:pPr>
        <w:ind w:firstLine="565" w:firstLineChars="202"/>
        <w:rPr>
          <w:rFonts w:ascii="仿宋" w:hAnsi="仿宋" w:eastAsia="仿宋"/>
          <w:color w:val="auto"/>
          <w:sz w:val="28"/>
          <w:szCs w:val="28"/>
          <w:highlight w:val="none"/>
        </w:rPr>
      </w:pPr>
    </w:p>
    <w:p>
      <w:pPr>
        <w:rPr>
          <w:rFonts w:ascii="黑体" w:hAnsi="黑体" w:eastAsia="黑体" w:cs="宋体"/>
          <w:bCs/>
          <w:color w:val="auto"/>
          <w:sz w:val="28"/>
          <w:szCs w:val="28"/>
          <w:highlight w:val="none"/>
        </w:rPr>
      </w:pPr>
      <w:bookmarkStart w:id="30" w:name="_Toc35393636"/>
      <w:bookmarkStart w:id="31" w:name="_Toc28359095"/>
      <w:bookmarkStart w:id="32" w:name="_Toc28359018"/>
      <w:bookmarkStart w:id="33" w:name="_Toc35393805"/>
      <w:r>
        <w:rPr>
          <w:rFonts w:hint="eastAsia" w:ascii="黑体" w:hAnsi="黑体" w:eastAsia="黑体" w:cs="宋体"/>
          <w:bCs/>
          <w:color w:val="auto"/>
          <w:sz w:val="28"/>
          <w:szCs w:val="28"/>
          <w:highlight w:val="none"/>
        </w:rPr>
        <w:t>八、凡对本次采购提出询问，请按</w:t>
      </w:r>
      <w:r>
        <w:rPr>
          <w:rFonts w:ascii="黑体" w:hAnsi="黑体" w:eastAsia="黑体" w:cs="宋体"/>
          <w:bCs/>
          <w:color w:val="auto"/>
          <w:sz w:val="28"/>
          <w:szCs w:val="28"/>
          <w:highlight w:val="none"/>
        </w:rPr>
        <w:t>以下方式</w:t>
      </w:r>
      <w:r>
        <w:rPr>
          <w:rFonts w:hint="eastAsia" w:ascii="黑体" w:hAnsi="黑体" w:eastAsia="黑体" w:cs="宋体"/>
          <w:bCs/>
          <w:color w:val="auto"/>
          <w:sz w:val="28"/>
          <w:szCs w:val="28"/>
          <w:highlight w:val="none"/>
        </w:rPr>
        <w:t>联系。</w:t>
      </w:r>
      <w:bookmarkEnd w:id="30"/>
      <w:bookmarkEnd w:id="31"/>
      <w:bookmarkEnd w:id="32"/>
      <w:bookmarkEnd w:id="33"/>
    </w:p>
    <w:p>
      <w:pPr>
        <w:widowControl/>
        <w:ind w:firstLine="840" w:firstLineChars="300"/>
        <w:jc w:val="left"/>
        <w:rPr>
          <w:rFonts w:hint="eastAsia" w:ascii="仿宋" w:hAnsi="仿宋" w:eastAsia="仿宋" w:cs="仿宋"/>
          <w:color w:val="auto"/>
          <w:sz w:val="28"/>
          <w:szCs w:val="28"/>
          <w:highlight w:val="none"/>
        </w:rPr>
      </w:pPr>
      <w:bookmarkStart w:id="34" w:name="_Toc352"/>
      <w:bookmarkStart w:id="35" w:name="_Toc5725"/>
      <w:r>
        <w:rPr>
          <w:rFonts w:hint="eastAsia" w:ascii="仿宋" w:hAnsi="仿宋" w:eastAsia="仿宋" w:cs="仿宋"/>
          <w:color w:val="auto"/>
          <w:sz w:val="28"/>
          <w:szCs w:val="28"/>
          <w:highlight w:val="none"/>
        </w:rPr>
        <w:t>1.采购人信息</w:t>
      </w:r>
    </w:p>
    <w:p>
      <w:pPr>
        <w:ind w:firstLine="842" w:firstLineChars="301"/>
        <w:rPr>
          <w:rFonts w:hint="eastAsia" w:ascii="仿宋" w:hAnsi="仿宋" w:eastAsia="仿宋" w:cs="Times New Roman"/>
          <w:color w:val="auto"/>
          <w:sz w:val="28"/>
          <w:szCs w:val="28"/>
          <w:highlight w:val="none"/>
        </w:rPr>
      </w:pPr>
      <w:bookmarkStart w:id="36" w:name="_Toc28359086"/>
      <w:bookmarkStart w:id="37" w:name="_Toc28359009"/>
      <w:r>
        <w:rPr>
          <w:rFonts w:hint="eastAsia" w:ascii="仿宋" w:hAnsi="仿宋" w:eastAsia="仿宋" w:cs="Times New Roman"/>
          <w:color w:val="auto"/>
          <w:sz w:val="28"/>
          <w:szCs w:val="28"/>
          <w:highlight w:val="none"/>
        </w:rPr>
        <w:t>名    称：</w:t>
      </w:r>
      <w:r>
        <w:rPr>
          <w:rFonts w:hint="eastAsia" w:ascii="仿宋" w:hAnsi="仿宋" w:eastAsia="仿宋" w:cs="仿宋"/>
          <w:color w:val="auto"/>
          <w:kern w:val="0"/>
          <w:sz w:val="28"/>
          <w:szCs w:val="28"/>
          <w:highlight w:val="none"/>
          <w:lang w:val="en-US" w:eastAsia="zh-CN"/>
        </w:rPr>
        <w:t xml:space="preserve">安庆职业技术学院  </w:t>
      </w:r>
    </w:p>
    <w:p>
      <w:pPr>
        <w:ind w:firstLine="842" w:firstLineChars="3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    址：</w:t>
      </w:r>
      <w:r>
        <w:rPr>
          <w:rFonts w:hint="eastAsia" w:ascii="仿宋" w:hAnsi="仿宋" w:eastAsia="仿宋" w:cs="仿宋"/>
          <w:color w:val="auto"/>
          <w:kern w:val="0"/>
          <w:sz w:val="28"/>
          <w:szCs w:val="28"/>
          <w:highlight w:val="none"/>
        </w:rPr>
        <w:t>安庆市</w:t>
      </w:r>
      <w:r>
        <w:rPr>
          <w:rFonts w:hint="eastAsia" w:ascii="仿宋" w:hAnsi="仿宋" w:eastAsia="仿宋" w:cs="仿宋"/>
          <w:color w:val="auto"/>
          <w:kern w:val="0"/>
          <w:sz w:val="28"/>
          <w:szCs w:val="28"/>
          <w:highlight w:val="none"/>
          <w:lang w:val="en-US" w:eastAsia="zh-CN"/>
        </w:rPr>
        <w:t>经开区</w:t>
      </w:r>
      <w:r>
        <w:rPr>
          <w:rFonts w:hint="eastAsia" w:ascii="仿宋" w:hAnsi="仿宋" w:eastAsia="仿宋" w:cs="仿宋"/>
          <w:color w:val="auto"/>
          <w:kern w:val="0"/>
          <w:sz w:val="28"/>
          <w:szCs w:val="28"/>
          <w:highlight w:val="none"/>
        </w:rPr>
        <w:t>天柱山东路99号</w:t>
      </w:r>
    </w:p>
    <w:p>
      <w:pPr>
        <w:ind w:firstLine="842" w:firstLineChars="3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联 系 人：</w:t>
      </w:r>
      <w:r>
        <w:rPr>
          <w:rFonts w:hint="eastAsia" w:ascii="仿宋" w:hAnsi="仿宋" w:eastAsia="仿宋" w:cs="仿宋"/>
          <w:color w:val="auto"/>
          <w:kern w:val="0"/>
          <w:sz w:val="28"/>
          <w:szCs w:val="28"/>
          <w:highlight w:val="none"/>
          <w:lang w:val="en-US" w:eastAsia="zh-CN"/>
        </w:rPr>
        <w:t xml:space="preserve">朱老师   </w:t>
      </w:r>
    </w:p>
    <w:p>
      <w:pPr>
        <w:ind w:firstLine="842" w:firstLineChars="3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联系方式：</w:t>
      </w:r>
      <w:r>
        <w:rPr>
          <w:rFonts w:hint="eastAsia" w:ascii="仿宋" w:hAnsi="仿宋" w:eastAsia="仿宋" w:cs="仿宋"/>
          <w:color w:val="auto"/>
          <w:kern w:val="0"/>
          <w:sz w:val="28"/>
          <w:szCs w:val="28"/>
          <w:highlight w:val="none"/>
        </w:rPr>
        <w:t>0556-5283045</w:t>
      </w:r>
    </w:p>
    <w:p>
      <w:pPr>
        <w:spacing w:line="360" w:lineRule="auto"/>
        <w:ind w:left="1129" w:leftChars="371" w:hanging="350" w:hangingChars="12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bookmarkEnd w:id="36"/>
      <w:bookmarkEnd w:id="37"/>
    </w:p>
    <w:p>
      <w:pPr>
        <w:spacing w:line="360" w:lineRule="auto"/>
        <w:ind w:firstLine="840" w:firstLineChars="300"/>
        <w:rPr>
          <w:rFonts w:hint="eastAsia" w:ascii="仿宋" w:hAnsi="仿宋" w:eastAsia="仿宋" w:cs="仿宋"/>
          <w:color w:val="auto"/>
          <w:sz w:val="28"/>
          <w:szCs w:val="28"/>
          <w:highlight w:val="none"/>
        </w:rPr>
      </w:pPr>
      <w:bookmarkStart w:id="38" w:name="_Toc28359087"/>
      <w:bookmarkStart w:id="39" w:name="_Toc28359010"/>
      <w:r>
        <w:rPr>
          <w:rFonts w:hint="eastAsia" w:ascii="仿宋" w:hAnsi="仿宋" w:eastAsia="仿宋" w:cs="仿宋"/>
          <w:color w:val="auto"/>
          <w:sz w:val="28"/>
          <w:szCs w:val="28"/>
          <w:highlight w:val="none"/>
        </w:rPr>
        <w:t xml:space="preserve">名    称：安庆市皖宜项目咨询管理有限公司 </w:t>
      </w:r>
    </w:p>
    <w:p>
      <w:pPr>
        <w:spacing w:line="360" w:lineRule="auto"/>
        <w:ind w:firstLine="840" w:firstLineChars="3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　　址：安庆市</w:t>
      </w:r>
      <w:r>
        <w:rPr>
          <w:rFonts w:hint="eastAsia" w:ascii="仿宋" w:hAnsi="仿宋" w:eastAsia="仿宋" w:cs="仿宋"/>
          <w:color w:val="auto"/>
          <w:sz w:val="28"/>
          <w:szCs w:val="28"/>
          <w:highlight w:val="none"/>
          <w:lang w:val="en-US" w:eastAsia="zh-CN"/>
        </w:rPr>
        <w:t>大观区</w:t>
      </w:r>
      <w:r>
        <w:rPr>
          <w:rFonts w:hint="eastAsia" w:ascii="仿宋" w:hAnsi="仿宋" w:eastAsia="仿宋" w:cs="仿宋"/>
          <w:color w:val="auto"/>
          <w:sz w:val="28"/>
          <w:szCs w:val="28"/>
          <w:highlight w:val="none"/>
        </w:rPr>
        <w:t>龙山路21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号</w:t>
      </w:r>
      <w:r>
        <w:rPr>
          <w:rFonts w:hint="eastAsia" w:ascii="仿宋" w:hAnsi="仿宋" w:eastAsia="仿宋" w:cs="仿宋"/>
          <w:color w:val="auto"/>
          <w:sz w:val="28"/>
          <w:szCs w:val="28"/>
          <w:highlight w:val="none"/>
          <w:lang w:val="en-US" w:eastAsia="zh-CN"/>
        </w:rPr>
        <w:t>5楼交易一部</w:t>
      </w:r>
    </w:p>
    <w:p>
      <w:pPr>
        <w:spacing w:line="360" w:lineRule="auto"/>
        <w:ind w:firstLine="840" w:firstLineChars="3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 系 人：</w:t>
      </w:r>
      <w:r>
        <w:rPr>
          <w:rFonts w:hint="eastAsia" w:ascii="仿宋" w:hAnsi="仿宋" w:eastAsia="仿宋" w:cs="仿宋"/>
          <w:color w:val="auto"/>
          <w:sz w:val="28"/>
          <w:szCs w:val="28"/>
          <w:highlight w:val="none"/>
          <w:lang w:val="en-US" w:eastAsia="zh-CN"/>
        </w:rPr>
        <w:t>张白梅</w:t>
      </w:r>
    </w:p>
    <w:p>
      <w:pPr>
        <w:spacing w:line="360" w:lineRule="auto"/>
        <w:ind w:firstLine="840" w:firstLineChars="3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联系方式：0556-599115</w:t>
      </w:r>
      <w:r>
        <w:rPr>
          <w:rFonts w:hint="eastAsia" w:ascii="仿宋" w:hAnsi="仿宋" w:eastAsia="仿宋" w:cs="仿宋"/>
          <w:color w:val="auto"/>
          <w:sz w:val="28"/>
          <w:szCs w:val="28"/>
          <w:highlight w:val="none"/>
          <w:lang w:val="en-US" w:eastAsia="zh-CN"/>
        </w:rPr>
        <w:t>6</w:t>
      </w:r>
    </w:p>
    <w:p>
      <w:pPr>
        <w:spacing w:line="360" w:lineRule="auto"/>
        <w:ind w:firstLine="840" w:firstLineChars="3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3.项目联系方式</w:t>
      </w:r>
      <w:bookmarkEnd w:id="38"/>
      <w:bookmarkEnd w:id="39"/>
    </w:p>
    <w:p>
      <w:pPr>
        <w:ind w:firstLine="842" w:firstLineChars="3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项目</w:t>
      </w:r>
      <w:r>
        <w:rPr>
          <w:rFonts w:hint="eastAsia" w:ascii="仿宋" w:hAnsi="仿宋" w:eastAsia="仿宋" w:cs="Times New Roman"/>
          <w:color w:val="auto"/>
          <w:sz w:val="28"/>
          <w:szCs w:val="28"/>
          <w:highlight w:val="none"/>
        </w:rPr>
        <w:t>联系人：</w:t>
      </w:r>
      <w:r>
        <w:rPr>
          <w:rFonts w:hint="eastAsia" w:ascii="仿宋" w:hAnsi="仿宋" w:eastAsia="仿宋" w:cs="Times New Roman"/>
          <w:color w:val="auto"/>
          <w:sz w:val="28"/>
          <w:szCs w:val="28"/>
          <w:highlight w:val="none"/>
          <w:lang w:val="en-US" w:eastAsia="zh-CN"/>
        </w:rPr>
        <w:t>朱老师</w:t>
      </w:r>
      <w:r>
        <w:rPr>
          <w:rFonts w:hint="eastAsia" w:ascii="仿宋" w:hAnsi="仿宋" w:eastAsia="仿宋" w:cs="Times New Roman"/>
          <w:color w:val="auto"/>
          <w:sz w:val="28"/>
          <w:szCs w:val="28"/>
          <w:highlight w:val="none"/>
        </w:rPr>
        <w:t>　</w:t>
      </w:r>
    </w:p>
    <w:p>
      <w:pPr>
        <w:ind w:firstLine="842" w:firstLineChars="301"/>
        <w:rPr>
          <w:rFonts w:hint="eastAsia" w:ascii="仿宋" w:hAnsi="仿宋" w:eastAsia="仿宋" w:cs="仿宋"/>
          <w:color w:val="auto"/>
          <w:kern w:val="0"/>
          <w:sz w:val="28"/>
          <w:szCs w:val="28"/>
          <w:highlight w:val="none"/>
        </w:rPr>
      </w:pPr>
      <w:r>
        <w:rPr>
          <w:rFonts w:hint="eastAsia" w:ascii="仿宋" w:hAnsi="仿宋" w:eastAsia="仿宋" w:cs="Times New Roman"/>
          <w:color w:val="auto"/>
          <w:sz w:val="28"/>
          <w:szCs w:val="28"/>
          <w:highlight w:val="none"/>
          <w:lang w:val="en-US" w:eastAsia="zh-CN"/>
        </w:rPr>
        <w:t>电     话</w:t>
      </w:r>
      <w:r>
        <w:rPr>
          <w:rFonts w:hint="eastAsia" w:ascii="仿宋" w:hAnsi="仿宋" w:eastAsia="仿宋" w:cs="Times New Roman"/>
          <w:color w:val="auto"/>
          <w:sz w:val="28"/>
          <w:szCs w:val="28"/>
          <w:highlight w:val="none"/>
        </w:rPr>
        <w:t>：</w:t>
      </w:r>
      <w:r>
        <w:rPr>
          <w:rFonts w:hint="eastAsia" w:ascii="仿宋" w:hAnsi="仿宋" w:eastAsia="仿宋" w:cs="仿宋"/>
          <w:color w:val="auto"/>
          <w:kern w:val="0"/>
          <w:sz w:val="28"/>
          <w:szCs w:val="28"/>
          <w:highlight w:val="none"/>
        </w:rPr>
        <w:t>0556-5283045</w:t>
      </w: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ind w:left="0" w:leftChars="0" w:firstLine="0" w:firstLineChars="0"/>
        <w:rPr>
          <w:rFonts w:hint="eastAsia"/>
          <w:color w:val="auto"/>
          <w:highlight w:val="none"/>
        </w:rPr>
      </w:pPr>
    </w:p>
    <w:p>
      <w:pPr>
        <w:pStyle w:val="3"/>
        <w:rPr>
          <w:rFonts w:ascii="宋体" w:hAnsi="宋体" w:cs="宋体"/>
          <w:color w:val="auto"/>
          <w:highlight w:val="none"/>
        </w:rPr>
      </w:pPr>
      <w:r>
        <w:rPr>
          <w:rFonts w:hint="eastAsia" w:ascii="宋体" w:hAnsi="宋体" w:cs="宋体"/>
          <w:color w:val="auto"/>
          <w:highlight w:val="none"/>
        </w:rPr>
        <w:t>第二章   谈判响应人须知</w:t>
      </w:r>
      <w:bookmarkEnd w:id="34"/>
      <w:bookmarkEnd w:id="35"/>
    </w:p>
    <w:p>
      <w:pPr>
        <w:pStyle w:val="65"/>
        <w:rPr>
          <w:rFonts w:ascii="宋体" w:hAnsi="宋体"/>
          <w:color w:val="auto"/>
          <w:highlight w:val="none"/>
        </w:rPr>
      </w:pPr>
      <w:bookmarkStart w:id="40" w:name="_Toc27607"/>
      <w:bookmarkStart w:id="41" w:name="_Toc14217"/>
      <w:r>
        <w:rPr>
          <w:rFonts w:hint="eastAsia" w:ascii="宋体" w:hAnsi="宋体"/>
          <w:color w:val="auto"/>
          <w:highlight w:val="none"/>
        </w:rPr>
        <w:t>第一节  谈判响应人须知前附表</w:t>
      </w:r>
      <w:bookmarkEnd w:id="40"/>
      <w:bookmarkEnd w:id="41"/>
    </w:p>
    <w:tbl>
      <w:tblPr>
        <w:tblStyle w:val="3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601"/>
        <w:gridCol w:w="6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358"/>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内容</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180"/>
              </w:tabs>
              <w:spacing w:before="0" w:beforeAutospacing="0" w:after="0" w:afterAutospacing="0" w:line="42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项目编号</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CG-AQ-2022-</w:t>
            </w:r>
            <w:r>
              <w:rPr>
                <w:rFonts w:hint="eastAsia" w:ascii="宋体" w:hAnsi="宋体" w:cs="宋体"/>
                <w:color w:val="auto"/>
                <w:szCs w:val="21"/>
                <w:highlight w:val="none"/>
                <w:lang w:val="en-US" w:eastAsia="zh-CN"/>
              </w:rPr>
              <w:t>1084</w:t>
            </w:r>
            <w:r>
              <w:rPr>
                <w:rFonts w:hint="eastAsia" w:ascii="宋体" w:hAnsi="宋体" w:eastAsia="宋体" w:cs="宋体"/>
                <w:color w:val="auto"/>
                <w:szCs w:val="21"/>
                <w:highlight w:val="none"/>
                <w:lang w:val="en-US" w:eastAsia="zh-CN"/>
              </w:rPr>
              <w:t xml:space="preserve">  FS34080120221173号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安庆职业技术学院“两站两服务”平台暨青年之家装饰工程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采购人</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安庆</w:t>
            </w:r>
            <w:r>
              <w:rPr>
                <w:rFonts w:hint="eastAsia" w:ascii="宋体" w:hAnsi="宋体" w:cs="宋体"/>
                <w:color w:val="auto"/>
                <w:szCs w:val="21"/>
                <w:highlight w:val="none"/>
                <w:lang w:val="en-US" w:eastAsia="zh-CN"/>
              </w:rPr>
              <w:t>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lang w:val="en-US" w:eastAsia="zh-CN"/>
              </w:rPr>
              <w:t>招标代理</w:t>
            </w:r>
            <w:r>
              <w:rPr>
                <w:rFonts w:hint="eastAsia" w:ascii="宋体" w:hAnsi="宋体" w:cs="宋体"/>
                <w:color w:val="auto"/>
                <w:szCs w:val="21"/>
                <w:highlight w:val="none"/>
              </w:rPr>
              <w:t>机构</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采购方式</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6</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包别划分</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一个标段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7</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资金来源</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8</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谈判最高限价</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752835.92元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工期</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资格要求</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详见竞争性谈判公告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谈判响应人不得存在的其他不良状况或不良信用记录</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val="en-US" w:eastAsia="zh-CN"/>
              </w:rPr>
              <w:t>各级人民政府财政部门依法对参加政府采购活动的供应商作出的禁止参加政府采购活动等行政处罚决定在全国范围内生效。谈判响应人受到财政部门依法作出的禁止参加政府采购活动且在有效期内的行政处罚，其谈判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资格审查方式</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谈判响应有效期</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2" w:leftChars="-1" w:right="0" w:firstLine="2"/>
              <w:rPr>
                <w:rFonts w:hint="default" w:ascii="宋体" w:hAnsi="宋体" w:cs="宋体"/>
                <w:color w:val="auto"/>
                <w:szCs w:val="21"/>
                <w:highlight w:val="none"/>
              </w:rPr>
            </w:pP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eastAsia="宋体" w:cs="宋体"/>
                <w:color w:val="auto"/>
                <w:highlight w:val="none"/>
              </w:rPr>
              <w:t>质量标准要求</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cs="宋体"/>
                <w:color w:val="auto"/>
                <w:szCs w:val="21"/>
                <w:highlight w:val="none"/>
              </w:rPr>
            </w:pPr>
            <w:r>
              <w:rPr>
                <w:rFonts w:hint="eastAsia" w:ascii="宋体" w:hAnsi="宋体" w:eastAsia="宋体" w:cs="宋体"/>
                <w:color w:val="auto"/>
                <w:highlight w:val="none"/>
              </w:rPr>
              <w:t>达到国家相关施工验收规范合格标准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谈判响应保证金</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b/>
                <w:bCs/>
                <w:color w:val="auto"/>
                <w:szCs w:val="21"/>
                <w:highlight w:val="none"/>
              </w:rPr>
              <w:t>本项目免收。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谈判响应文件要求</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0"/>
              </w:numPr>
              <w:suppressLineNumbers w:val="0"/>
              <w:spacing w:before="0" w:beforeAutospacing="0" w:after="0" w:afterAutospacing="0" w:line="440" w:lineRule="exact"/>
              <w:ind w:left="0" w:leftChars="0" w:right="0" w:rightChars="0" w:firstLine="0" w:firstLineChars="0"/>
              <w:rPr>
                <w:rFonts w:hint="default" w:ascii="宋体" w:hAnsi="宋体" w:cs="宋体"/>
                <w:color w:val="auto"/>
                <w:kern w:val="0"/>
                <w:szCs w:val="21"/>
                <w:highlight w:val="none"/>
              </w:rPr>
            </w:pPr>
            <w:r>
              <w:rPr>
                <w:rFonts w:hint="eastAsia" w:ascii="宋体" w:hAnsi="宋体" w:cs="宋体"/>
                <w:b/>
                <w:bCs/>
                <w:color w:val="auto"/>
                <w:szCs w:val="21"/>
                <w:highlight w:val="none"/>
              </w:rPr>
              <w:t>加密电子谈判响应文件（.AQTF格式）</w:t>
            </w:r>
            <w:r>
              <w:rPr>
                <w:rFonts w:hint="eastAsia" w:ascii="宋体" w:hAnsi="宋体" w:cs="宋体"/>
                <w:b/>
                <w:bCs/>
                <w:color w:val="auto"/>
                <w:kern w:val="0"/>
                <w:szCs w:val="21"/>
                <w:highlight w:val="none"/>
              </w:rPr>
              <w:t>须在提交响应文件截止时间前</w:t>
            </w:r>
            <w:r>
              <w:rPr>
                <w:rFonts w:hint="eastAsia" w:ascii="宋体" w:hAnsi="宋体" w:cs="宋体"/>
                <w:b/>
                <w:bCs/>
                <w:color w:val="auto"/>
                <w:kern w:val="0"/>
                <w:szCs w:val="21"/>
                <w:highlight w:val="none"/>
                <w:lang w:eastAsia="zh-CN"/>
              </w:rPr>
              <w:t>登录</w:t>
            </w:r>
            <w:r>
              <w:rPr>
                <w:rFonts w:hint="eastAsia" w:ascii="宋体" w:hAnsi="宋体" w:cs="宋体"/>
                <w:b/>
                <w:bCs/>
                <w:color w:val="auto"/>
                <w:szCs w:val="21"/>
                <w:highlight w:val="none"/>
              </w:rPr>
              <w:t>安庆市公共资源交易服务网</w:t>
            </w:r>
            <w:r>
              <w:rPr>
                <w:rFonts w:hint="eastAsia" w:ascii="宋体" w:hAnsi="宋体" w:cs="宋体"/>
                <w:b/>
                <w:color w:val="auto"/>
                <w:kern w:val="0"/>
                <w:szCs w:val="21"/>
                <w:highlight w:val="none"/>
              </w:rPr>
              <w:t>上传</w:t>
            </w:r>
            <w:r>
              <w:rPr>
                <w:rFonts w:hint="eastAsia" w:ascii="宋体" w:hAnsi="宋体" w:cs="宋体"/>
                <w:color w:val="auto"/>
                <w:kern w:val="0"/>
                <w:szCs w:val="21"/>
                <w:highlight w:val="none"/>
              </w:rPr>
              <w:t>。制作方法见附表第</w:t>
            </w:r>
            <w:r>
              <w:rPr>
                <w:rFonts w:hint="eastAsia" w:ascii="宋体" w:hAnsi="宋体" w:cs="宋体"/>
                <w:color w:val="auto"/>
                <w:kern w:val="0"/>
                <w:szCs w:val="21"/>
                <w:highlight w:val="none"/>
                <w:lang w:val="en-US" w:eastAsia="zh-CN"/>
              </w:rPr>
              <w:t>38</w:t>
            </w:r>
            <w:r>
              <w:rPr>
                <w:rFonts w:hint="eastAsia" w:ascii="宋体" w:hAnsi="宋体" w:cs="宋体"/>
                <w:color w:val="auto"/>
                <w:kern w:val="0"/>
                <w:szCs w:val="21"/>
                <w:highlight w:val="none"/>
              </w:rPr>
              <w:t>款</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4"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提交响应文件</w:t>
            </w:r>
          </w:p>
        </w:tc>
        <w:tc>
          <w:tcPr>
            <w:tcW w:w="6948" w:type="dxa"/>
            <w:tcBorders>
              <w:top w:val="single" w:color="auto" w:sz="4" w:space="0"/>
              <w:left w:val="single" w:color="auto" w:sz="4" w:space="0"/>
              <w:bottom w:val="single" w:color="auto" w:sz="4" w:space="0"/>
              <w:right w:val="single" w:color="auto" w:sz="4" w:space="0"/>
            </w:tcBorders>
            <w:vAlign w:val="center"/>
          </w:tcPr>
          <w:p>
            <w:pPr>
              <w:pStyle w:val="9"/>
              <w:keepNext w:val="0"/>
              <w:keepLines w:val="0"/>
              <w:widowControl/>
              <w:numPr>
                <w:ilvl w:val="0"/>
                <w:numId w:val="2"/>
              </w:numPr>
              <w:suppressLineNumbers w:val="0"/>
              <w:spacing w:before="0" w:beforeAutospacing="0" w:after="0" w:afterAutospacing="0" w:line="420" w:lineRule="exact"/>
              <w:ind w:left="0" w:right="0"/>
              <w:jc w:val="both"/>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提交响应文件截止时间：</w:t>
            </w:r>
            <w:r>
              <w:rPr>
                <w:rFonts w:hint="eastAsia" w:ascii="宋体" w:hAnsi="宋体" w:eastAsia="宋体" w:cs="宋体"/>
                <w:color w:val="auto"/>
                <w:sz w:val="21"/>
                <w:szCs w:val="21"/>
                <w:highlight w:val="none"/>
                <w:lang w:val="en-US" w:eastAsia="zh-CN"/>
              </w:rPr>
              <w:t>2022年 11月29 日9 时 30分</w:t>
            </w:r>
            <w:r>
              <w:rPr>
                <w:rFonts w:hint="eastAsia" w:ascii="宋体" w:hAnsi="宋体" w:eastAsia="宋体" w:cs="宋体"/>
                <w:color w:val="auto"/>
                <w:sz w:val="21"/>
                <w:szCs w:val="21"/>
                <w:highlight w:val="none"/>
                <w:u w:val="none"/>
                <w:lang w:val="en-US" w:eastAsia="zh-CN"/>
              </w:rPr>
              <w:t xml:space="preserve"> </w:t>
            </w:r>
          </w:p>
          <w:p>
            <w:pPr>
              <w:pStyle w:val="9"/>
              <w:keepNext w:val="0"/>
              <w:keepLines w:val="0"/>
              <w:widowControl/>
              <w:numPr>
                <w:ilvl w:val="0"/>
                <w:numId w:val="0"/>
              </w:numPr>
              <w:suppressLineNumbers w:val="0"/>
              <w:spacing w:before="0" w:beforeAutospacing="0" w:after="0" w:afterAutospacing="0" w:line="420" w:lineRule="exact"/>
              <w:ind w:left="0" w:leftChars="0" w:right="0" w:rightChars="0" w:firstLine="0" w:firstLineChars="0"/>
              <w:jc w:val="both"/>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2、谈判响应人须在提交响应文件截止时间前，在安庆市公共资源交易</w:t>
            </w:r>
            <w:r>
              <w:rPr>
                <w:rFonts w:hint="eastAsia" w:ascii="宋体" w:hAnsi="宋体" w:eastAsia="宋体" w:cs="宋体"/>
                <w:color w:val="auto"/>
                <w:sz w:val="21"/>
                <w:szCs w:val="21"/>
                <w:highlight w:val="none"/>
                <w:lang w:val="en-US" w:eastAsia="zh-CN"/>
              </w:rPr>
              <w:t>系统</w:t>
            </w:r>
            <w:r>
              <w:rPr>
                <w:rFonts w:hint="eastAsia" w:ascii="宋体" w:hAnsi="宋体" w:eastAsia="宋体" w:cs="宋体"/>
                <w:color w:val="auto"/>
                <w:sz w:val="21"/>
                <w:szCs w:val="21"/>
                <w:highlight w:val="none"/>
              </w:rPr>
              <w:t>提交加密后的电子谈判响应文件。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媒介发布</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8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本次</w:t>
            </w:r>
            <w:r>
              <w:rPr>
                <w:rFonts w:hint="eastAsia" w:ascii="宋体" w:hAnsi="宋体" w:cs="宋体"/>
                <w:color w:val="auto"/>
                <w:szCs w:val="21"/>
                <w:highlight w:val="none"/>
                <w:lang w:eastAsia="zh-CN"/>
              </w:rPr>
              <w:t>竞争性谈判公告</w:t>
            </w:r>
            <w:r>
              <w:rPr>
                <w:rFonts w:hint="eastAsia" w:ascii="宋体" w:hAnsi="宋体" w:cs="宋体"/>
                <w:color w:val="auto"/>
                <w:szCs w:val="21"/>
                <w:highlight w:val="none"/>
              </w:rPr>
              <w:t>同时在</w:t>
            </w:r>
          </w:p>
          <w:p>
            <w:pPr>
              <w:keepNext w:val="0"/>
              <w:keepLines w:val="0"/>
              <w:suppressLineNumbers w:val="0"/>
              <w:autoSpaceDE w:val="0"/>
              <w:autoSpaceDN w:val="0"/>
              <w:adjustRightInd w:val="0"/>
              <w:spacing w:before="0" w:beforeAutospacing="0" w:after="0" w:afterAutospacing="0" w:line="38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安庆市公共资源交易服务网（</w:t>
            </w:r>
            <w:r>
              <w:rPr>
                <w:rFonts w:hint="default"/>
                <w:color w:val="auto"/>
                <w:highlight w:val="none"/>
              </w:rPr>
              <w:fldChar w:fldCharType="begin"/>
            </w:r>
            <w:r>
              <w:rPr>
                <w:rFonts w:hint="default"/>
                <w:color w:val="auto"/>
                <w:highlight w:val="none"/>
              </w:rPr>
              <w:instrText xml:space="preserve"> HYPERLINK "http://www.aqzbcg.org:1102/）、" </w:instrText>
            </w:r>
            <w:r>
              <w:rPr>
                <w:rFonts w:hint="default"/>
                <w:color w:val="auto"/>
                <w:highlight w:val="none"/>
              </w:rPr>
              <w:fldChar w:fldCharType="separate"/>
            </w:r>
            <w:r>
              <w:rPr>
                <w:rStyle w:val="43"/>
                <w:rFonts w:hint="eastAsia" w:ascii="宋体" w:hAnsi="宋体" w:cs="宋体"/>
                <w:color w:val="auto"/>
                <w:szCs w:val="21"/>
                <w:highlight w:val="none"/>
              </w:rPr>
              <w:t>http://aqggzy.anqing.gov.cn/）、</w:t>
            </w:r>
            <w:r>
              <w:rPr>
                <w:rStyle w:val="43"/>
                <w:rFonts w:hint="eastAsia" w:ascii="宋体" w:hAnsi="宋体" w:cs="宋体"/>
                <w:color w:val="auto"/>
                <w:szCs w:val="21"/>
                <w:highlight w:val="none"/>
              </w:rPr>
              <w:fldChar w:fldCharType="end"/>
            </w:r>
          </w:p>
          <w:p>
            <w:pPr>
              <w:keepNext w:val="0"/>
              <w:keepLines w:val="0"/>
              <w:suppressLineNumbers w:val="0"/>
              <w:autoSpaceDE w:val="0"/>
              <w:autoSpaceDN w:val="0"/>
              <w:adjustRightInd w:val="0"/>
              <w:spacing w:before="0" w:beforeAutospacing="0" w:after="0" w:afterAutospacing="0" w:line="38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安庆市政府信息公开网（</w:t>
            </w:r>
            <w:r>
              <w:rPr>
                <w:rFonts w:hint="default"/>
                <w:color w:val="auto"/>
                <w:highlight w:val="none"/>
              </w:rPr>
              <w:fldChar w:fldCharType="begin"/>
            </w:r>
            <w:r>
              <w:rPr>
                <w:rFonts w:hint="default"/>
                <w:color w:val="auto"/>
                <w:highlight w:val="none"/>
              </w:rPr>
              <w:instrText xml:space="preserve"> HYPERLINK "http://aqxxgk.anqing.gov.cn/）、" </w:instrText>
            </w:r>
            <w:r>
              <w:rPr>
                <w:rFonts w:hint="default"/>
                <w:color w:val="auto"/>
                <w:highlight w:val="none"/>
              </w:rPr>
              <w:fldChar w:fldCharType="separate"/>
            </w:r>
            <w:r>
              <w:rPr>
                <w:rStyle w:val="43"/>
                <w:rFonts w:hint="eastAsia" w:ascii="宋体" w:hAnsi="宋体" w:cs="宋体"/>
                <w:color w:val="auto"/>
                <w:szCs w:val="21"/>
                <w:highlight w:val="none"/>
              </w:rPr>
              <w:t>http://aqxxgk.anqing.gov.cn/）、</w:t>
            </w:r>
            <w:r>
              <w:rPr>
                <w:rStyle w:val="43"/>
                <w:rFonts w:hint="eastAsia" w:ascii="宋体" w:hAnsi="宋体" w:cs="宋体"/>
                <w:color w:val="auto"/>
                <w:szCs w:val="21"/>
                <w:highlight w:val="none"/>
              </w:rPr>
              <w:fldChar w:fldCharType="end"/>
            </w:r>
          </w:p>
          <w:p>
            <w:pPr>
              <w:keepNext w:val="0"/>
              <w:keepLines w:val="0"/>
              <w:suppressLineNumbers w:val="0"/>
              <w:autoSpaceDE w:val="0"/>
              <w:autoSpaceDN w:val="0"/>
              <w:adjustRightInd w:val="0"/>
              <w:spacing w:before="0" w:beforeAutospacing="0" w:after="0" w:afterAutospacing="0" w:line="38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安徽省政府采购网（</w:t>
            </w:r>
            <w:r>
              <w:rPr>
                <w:rFonts w:hint="default"/>
                <w:color w:val="auto"/>
                <w:highlight w:val="none"/>
              </w:rPr>
              <w:fldChar w:fldCharType="begin"/>
            </w:r>
            <w:r>
              <w:rPr>
                <w:rFonts w:hint="default"/>
                <w:color w:val="auto"/>
                <w:highlight w:val="none"/>
              </w:rPr>
              <w:instrText xml:space="preserve"> HYPERLINK "http://www.ahzfcg.gov.cn/）、" </w:instrText>
            </w:r>
            <w:r>
              <w:rPr>
                <w:rFonts w:hint="default"/>
                <w:color w:val="auto"/>
                <w:highlight w:val="none"/>
              </w:rPr>
              <w:fldChar w:fldCharType="separate"/>
            </w:r>
            <w:r>
              <w:rPr>
                <w:rStyle w:val="43"/>
                <w:rFonts w:hint="eastAsia" w:ascii="宋体" w:hAnsi="宋体" w:cs="宋体"/>
                <w:color w:val="auto"/>
                <w:szCs w:val="21"/>
                <w:highlight w:val="none"/>
              </w:rPr>
              <w:t>http://www.ccgp-anhui.gov.cn/）、</w:t>
            </w:r>
            <w:r>
              <w:rPr>
                <w:rStyle w:val="43"/>
                <w:rFonts w:hint="eastAsia" w:ascii="宋体" w:hAnsi="宋体" w:cs="宋体"/>
                <w:color w:val="auto"/>
                <w:szCs w:val="21"/>
                <w:highlight w:val="none"/>
              </w:rPr>
              <w:fldChar w:fldCharType="end"/>
            </w:r>
          </w:p>
          <w:p>
            <w:pPr>
              <w:keepNext w:val="0"/>
              <w:keepLines w:val="0"/>
              <w:suppressLineNumbers w:val="0"/>
              <w:autoSpaceDE w:val="0"/>
              <w:autoSpaceDN w:val="0"/>
              <w:adjustRightInd w:val="0"/>
              <w:spacing w:before="0" w:beforeAutospacing="0" w:after="0" w:afterAutospacing="0" w:line="38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安徽省招标投标信息网（</w:t>
            </w:r>
            <w:r>
              <w:rPr>
                <w:rFonts w:hint="default"/>
                <w:color w:val="auto"/>
                <w:highlight w:val="none"/>
              </w:rPr>
              <w:fldChar w:fldCharType="begin"/>
            </w:r>
            <w:r>
              <w:rPr>
                <w:rFonts w:hint="default"/>
                <w:color w:val="auto"/>
                <w:highlight w:val="none"/>
              </w:rPr>
              <w:instrText xml:space="preserve"> HYPERLINK "http://www.ahtba.org.cn/" </w:instrText>
            </w:r>
            <w:r>
              <w:rPr>
                <w:rFonts w:hint="default"/>
                <w:color w:val="auto"/>
                <w:highlight w:val="none"/>
              </w:rPr>
              <w:fldChar w:fldCharType="separate"/>
            </w:r>
            <w:r>
              <w:rPr>
                <w:rStyle w:val="43"/>
                <w:rFonts w:hint="eastAsia" w:ascii="宋体" w:hAnsi="宋体" w:cs="宋体"/>
                <w:color w:val="auto"/>
                <w:szCs w:val="21"/>
                <w:highlight w:val="none"/>
              </w:rPr>
              <w:t>http://www.ahtba.org.cn/</w:t>
            </w:r>
            <w:r>
              <w:rPr>
                <w:rStyle w:val="43"/>
                <w:rFonts w:hint="eastAsia" w:ascii="宋体" w:hAnsi="宋体" w:cs="宋体"/>
                <w:color w:val="auto"/>
                <w:szCs w:val="21"/>
                <w:highlight w:val="none"/>
              </w:rPr>
              <w:fldChar w:fldCharType="end"/>
            </w:r>
            <w:r>
              <w:rPr>
                <w:rFonts w:hint="eastAsia" w:ascii="宋体" w:hAnsi="宋体" w:cs="宋体"/>
                <w:color w:val="auto"/>
                <w:szCs w:val="21"/>
                <w:highlight w:val="none"/>
              </w:rPr>
              <w:t>）上发布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谈判时间和地点</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时间:</w:t>
            </w:r>
            <w:r>
              <w:rPr>
                <w:rFonts w:hint="eastAsia" w:ascii="宋体" w:hAnsi="宋体" w:eastAsia="宋体" w:cs="宋体"/>
                <w:color w:val="auto"/>
                <w:sz w:val="21"/>
                <w:szCs w:val="21"/>
                <w:highlight w:val="none"/>
                <w:lang w:val="en-US" w:eastAsia="zh-CN"/>
              </w:rPr>
              <w:t>2022年 11月29 日9 时 30分</w:t>
            </w:r>
            <w:r>
              <w:rPr>
                <w:rFonts w:hint="eastAsia" w:ascii="宋体" w:hAnsi="宋体" w:eastAsia="宋体" w:cs="宋体"/>
                <w:color w:val="auto"/>
                <w:sz w:val="21"/>
                <w:szCs w:val="21"/>
                <w:highlight w:val="none"/>
                <w:u w:val="none"/>
                <w:lang w:val="en-US" w:eastAsia="zh-CN"/>
              </w:rPr>
              <w:t xml:space="preserve"> </w:t>
            </w:r>
          </w:p>
          <w:p>
            <w:pPr>
              <w:keepNext w:val="0"/>
              <w:keepLines w:val="0"/>
              <w:suppressLineNumbers w:val="0"/>
              <w:spacing w:before="0" w:beforeAutospacing="0" w:after="0" w:afterAutospacing="0" w:line="420" w:lineRule="exact"/>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地点: 安庆市公共资源</w:t>
            </w:r>
            <w:r>
              <w:rPr>
                <w:rFonts w:hint="eastAsia" w:ascii="宋体" w:hAnsi="宋体" w:cs="宋体"/>
                <w:color w:val="auto"/>
                <w:szCs w:val="21"/>
                <w:highlight w:val="none"/>
                <w:lang w:val="en-US" w:eastAsia="zh-CN"/>
              </w:rPr>
              <w:t>电子交易平台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评审方法</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b/>
                <w:color w:val="auto"/>
                <w:highlight w:val="none"/>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21</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eastAsia" w:ascii="宋体" w:hAnsi="宋体" w:cs="宋体"/>
                <w:color w:val="auto"/>
                <w:szCs w:val="21"/>
                <w:highlight w:val="none"/>
              </w:rPr>
            </w:pPr>
            <w:r>
              <w:rPr>
                <w:rFonts w:hint="eastAsia" w:ascii="宋体" w:hAnsi="宋体"/>
                <w:color w:val="auto"/>
                <w:szCs w:val="21"/>
                <w:highlight w:val="none"/>
              </w:rPr>
              <w:t>是否专门面向中小企业采购</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eastAsia" w:ascii="宋体" w:hAnsi="宋体" w:cs="宋体"/>
                <w:b/>
                <w:color w:val="auto"/>
                <w:highlight w:val="none"/>
              </w:rPr>
            </w:pP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 xml:space="preserve">是   </w:t>
            </w:r>
            <w:r>
              <w:rPr>
                <w:rFonts w:hint="default" w:ascii="宋体" w:hAnsi="宋体" w:cs="宋体"/>
                <w:color w:val="auto"/>
                <w:kern w:val="0"/>
                <w:szCs w:val="21"/>
                <w:highlight w:val="none"/>
              </w:rPr>
              <w:sym w:font="Wingdings 2" w:char="F0A3"/>
            </w:r>
            <w:r>
              <w:rPr>
                <w:rFonts w:hint="eastAsia" w:ascii="宋体" w:hAnsi="宋体" w:cs="宋体"/>
                <w:color w:val="auto"/>
                <w:kern w:val="0"/>
                <w:szCs w:val="21"/>
                <w:highlight w:val="none"/>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2</w:t>
            </w:r>
            <w:r>
              <w:rPr>
                <w:rFonts w:hint="eastAsia" w:ascii="宋体" w:hAnsi="宋体" w:cs="宋体"/>
                <w:color w:val="auto"/>
                <w:kern w:val="2"/>
                <w:sz w:val="21"/>
                <w:szCs w:val="21"/>
                <w:highlight w:val="none"/>
                <w:lang w:val="en-US" w:eastAsia="zh-CN" w:bidi="ar"/>
              </w:rPr>
              <w:t>2</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本项目采购标的所属行业</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建筑业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leftChars="0" w:right="0" w:rightChars="0"/>
              <w:jc w:val="both"/>
              <w:rPr>
                <w:rFonts w:hint="eastAsia"/>
                <w:color w:val="auto"/>
                <w:highlight w:val="none"/>
              </w:rPr>
            </w:pPr>
            <w:r>
              <w:rPr>
                <w:rFonts w:hint="eastAsia"/>
                <w:color w:val="auto"/>
                <w:highlight w:val="none"/>
                <w:lang w:val="en-US" w:eastAsia="zh-CN"/>
              </w:rPr>
              <w:t>响应报价扣除</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leftChars="0" w:right="0" w:rightChars="0"/>
              <w:jc w:val="center"/>
              <w:rPr>
                <w:rFonts w:hint="eastAsia" w:ascii="宋体" w:hAnsi="宋体" w:cs="宋体"/>
                <w:b/>
                <w:color w:val="auto"/>
                <w:highlight w:val="none"/>
              </w:rPr>
            </w:pPr>
            <w:r>
              <w:rPr>
                <w:rFonts w:hint="eastAsia" w:ascii="宋体" w:hAnsi="宋体" w:cs="宋体"/>
                <w:color w:val="auto"/>
                <w:kern w:val="2"/>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leftChars="0" w:right="0"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leftChars="0" w:right="0" w:rightChars="0"/>
              <w:jc w:val="both"/>
              <w:rPr>
                <w:rFonts w:hint="default"/>
                <w:color w:val="auto"/>
                <w:highlight w:val="none"/>
                <w:lang w:val="en-US" w:eastAsia="zh-CN"/>
              </w:rPr>
            </w:pPr>
            <w:r>
              <w:rPr>
                <w:rFonts w:hint="eastAsia"/>
                <w:color w:val="auto"/>
                <w:highlight w:val="none"/>
                <w:lang w:val="en-US" w:eastAsia="zh-CN"/>
              </w:rPr>
              <w:t>成交通知书发出的形式</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leftChars="0" w:right="0" w:rightChars="0"/>
              <w:jc w:val="left"/>
              <w:rPr>
                <w:rFonts w:hint="default"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数据电文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25</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履约保证金</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topLinePunct w:val="0"/>
              <w:bidi w:val="0"/>
              <w:adjustRightInd w:val="0"/>
              <w:snapToGrid w:val="0"/>
              <w:spacing w:before="0" w:beforeAutospacing="0" w:after="0" w:afterAutospacing="0" w:line="360" w:lineRule="auto"/>
              <w:ind w:left="0" w:right="0"/>
              <w:textAlignment w:val="auto"/>
              <w:rPr>
                <w:rFonts w:hint="eastAsia"/>
              </w:rPr>
            </w:pPr>
            <w:r>
              <w:rPr>
                <w:rFonts w:hint="eastAsia"/>
              </w:rPr>
              <w:t>（1）形式：</w:t>
            </w:r>
            <w:bookmarkStart w:id="42" w:name="EBbf7d1a7cf1904eb0a9d5ad6f728c2166"/>
            <w:r>
              <w:rPr>
                <w:rFonts w:hint="eastAsia"/>
              </w:rPr>
              <w:t xml:space="preserve">☑银行转账   ☑银行电汇 </w:t>
            </w:r>
          </w:p>
          <w:p>
            <w:pPr>
              <w:keepNext w:val="0"/>
              <w:keepLines w:val="0"/>
              <w:pageBreakBefore w:val="0"/>
              <w:suppressLineNumbers w:val="0"/>
              <w:topLinePunct w:val="0"/>
              <w:bidi w:val="0"/>
              <w:adjustRightInd w:val="0"/>
              <w:snapToGrid w:val="0"/>
              <w:spacing w:before="0" w:beforeAutospacing="0" w:after="0" w:afterAutospacing="0" w:line="360" w:lineRule="auto"/>
              <w:ind w:left="0" w:right="0"/>
              <w:textAlignment w:val="auto"/>
              <w:rPr>
                <w:rFonts w:hint="eastAsia"/>
              </w:rPr>
            </w:pPr>
            <w:r>
              <w:rPr>
                <w:rFonts w:hint="eastAsia"/>
              </w:rPr>
              <w:t xml:space="preserve">☑银行保函   ☑担保机构担保 </w:t>
            </w:r>
            <w:bookmarkEnd w:id="42"/>
            <w:r>
              <w:rPr>
                <w:rFonts w:hint="eastAsia"/>
                <w:lang w:eastAsia="zh-CN"/>
              </w:rPr>
              <w:sym w:font="Wingdings 2" w:char="0052"/>
            </w:r>
            <w:r>
              <w:rPr>
                <w:rFonts w:hint="eastAsia"/>
              </w:rPr>
              <w:t>保证保险</w:t>
            </w:r>
          </w:p>
          <w:p>
            <w:pPr>
              <w:keepNext w:val="0"/>
              <w:keepLines w:val="0"/>
              <w:suppressLineNumbers w:val="0"/>
              <w:spacing w:before="0" w:beforeAutospacing="0" w:after="0" w:afterAutospacing="0" w:line="42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比例/金额：</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 xml:space="preserve">合同金额的 </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w:t>
            </w:r>
            <w:r>
              <w:rPr>
                <w:rFonts w:hint="eastAsia" w:ascii="宋体" w:hAnsi="宋体" w:cs="宋体"/>
                <w:color w:val="auto"/>
                <w:szCs w:val="21"/>
                <w:highlight w:val="none"/>
              </w:rPr>
              <w:tab/>
            </w:r>
          </w:p>
          <w:p>
            <w:pPr>
              <w:keepNext w:val="0"/>
              <w:keepLines w:val="0"/>
              <w:suppressLineNumbers w:val="0"/>
              <w:spacing w:before="0" w:beforeAutospacing="0" w:after="0" w:afterAutospacing="0" w:line="420" w:lineRule="exact"/>
              <w:ind w:left="0" w:right="0"/>
              <w:rPr>
                <w:rFonts w:hint="default"/>
              </w:rPr>
            </w:pPr>
            <w:r>
              <w:rPr>
                <w:rFonts w:hint="eastAsia" w:ascii="宋体" w:hAnsi="宋体" w:cs="宋体"/>
                <w:color w:val="auto"/>
                <w:szCs w:val="21"/>
                <w:highlight w:val="none"/>
                <w:lang w:val="en-US" w:eastAsia="zh-CN"/>
              </w:rPr>
              <w:t>（3）提交时限：成交人在合同签订前应按磋商文件要求提交履约担保。若成交人未按规定提交履约担保的，采购人可取消其成交资格，并保留进一步追偿的权利。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26</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eastAsia="宋体" w:cs="宋体"/>
                <w:color w:val="auto"/>
                <w:highlight w:val="none"/>
              </w:rPr>
              <w:t>安全文明要求</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cs="宋体"/>
                <w:color w:val="auto"/>
                <w:szCs w:val="21"/>
                <w:highlight w:val="none"/>
              </w:rPr>
            </w:pPr>
            <w:r>
              <w:rPr>
                <w:rFonts w:hint="eastAsia" w:ascii="宋体" w:hAnsi="宋体" w:eastAsia="宋体" w:cs="宋体"/>
                <w:color w:val="auto"/>
                <w:highlight w:val="none"/>
              </w:rPr>
              <w:t>执行国家、省、市现行相关规定，确保安全文明施工</w:t>
            </w:r>
            <w:r>
              <w:rPr>
                <w:rFonts w:hint="eastAsia" w:ascii="宋体" w:hAnsi="宋体" w:eastAsia="宋体" w:cs="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27</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总包及分包规定</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不得在中标后将工程转包给其它施工单位。如需专业分包，分包项目、内容、分包商、分包合同须报监理单位确认，经</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同意后方可实施。</w:t>
            </w:r>
          </w:p>
          <w:p>
            <w:pPr>
              <w:keepNext w:val="0"/>
              <w:keepLines w:val="0"/>
              <w:suppressLineNumbers w:val="0"/>
              <w:spacing w:before="0" w:beforeAutospacing="0" w:after="0" w:afterAutospacing="0" w:line="420" w:lineRule="exact"/>
              <w:ind w:left="0" w:right="0"/>
              <w:rPr>
                <w:rFonts w:hint="eastAsia" w:ascii="宋体" w:hAnsi="宋体" w:eastAsia="宋体" w:cs="宋体"/>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依据《政府采购促进中小企业发展管理办法》（财库[2020]46号）规定享受扶持政策获得政府采购合同的，小微企业不得将合同分包给大中型企业，中型企业不得将合同分包给大型企业</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28</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现场条件</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具备开工条件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29</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农民工工资</w:t>
            </w:r>
            <w:r>
              <w:rPr>
                <w:rFonts w:hint="eastAsia" w:ascii="宋体" w:hAnsi="宋体" w:eastAsia="宋体" w:cs="宋体"/>
                <w:color w:val="auto"/>
                <w:highlight w:val="none"/>
                <w:lang w:eastAsia="zh-CN"/>
              </w:rPr>
              <w:t>要求</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谈判响应人</w:t>
            </w:r>
            <w:r>
              <w:rPr>
                <w:rFonts w:hint="eastAsia" w:ascii="宋体" w:hAnsi="宋体" w:eastAsia="宋体" w:cs="宋体"/>
                <w:color w:val="auto"/>
                <w:highlight w:val="none"/>
              </w:rPr>
              <w:t>一旦中标，必须严格执行《安庆市人民政府办公室关于印发安庆市工程建设领域农民工工资专用账户和工程款分账管理办法的通知》</w:t>
            </w:r>
            <w:r>
              <w:rPr>
                <w:rFonts w:hint="eastAsia" w:ascii="宋体" w:hAnsi="宋体" w:eastAsia="宋体" w:cs="宋体"/>
                <w:color w:val="auto"/>
                <w:highlight w:val="none"/>
                <w:lang w:eastAsia="zh-CN"/>
              </w:rPr>
              <w:t>（宜政办秘〔2021〕17号）</w:t>
            </w:r>
            <w:r>
              <w:rPr>
                <w:rFonts w:hint="eastAsia" w:ascii="宋体" w:hAnsi="宋体" w:eastAsia="宋体" w:cs="宋体"/>
                <w:color w:val="auto"/>
                <w:highlight w:val="none"/>
              </w:rPr>
              <w:t>的规定。</w:t>
            </w:r>
            <w:r>
              <w:rPr>
                <w:rFonts w:hint="eastAsia" w:ascii="宋体" w:hAnsi="宋体" w:eastAsia="宋体" w:cs="宋体"/>
                <w:color w:val="auto"/>
                <w:highlight w:val="none"/>
                <w:lang w:val="en-US" w:eastAsia="zh-CN"/>
              </w:rPr>
              <w:t>按安庆市相关规定使用“安庆市农民工工资支付监管系统”，及时足额拨付工资性工程款进入农民工工资专用账户。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30</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人员到岗</w:t>
            </w:r>
          </w:p>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strike/>
                <w:dstrike w:val="0"/>
                <w:color w:val="auto"/>
                <w:highlight w:val="none"/>
              </w:rPr>
            </w:pPr>
            <w:r>
              <w:rPr>
                <w:rFonts w:hint="eastAsia" w:ascii="宋体" w:hAnsi="宋体" w:eastAsia="宋体" w:cs="宋体"/>
                <w:strike w:val="0"/>
                <w:dstrike w:val="0"/>
                <w:color w:val="auto"/>
                <w:highlight w:val="none"/>
              </w:rPr>
              <w:t>及履约要求</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00" w:firstLineChars="0"/>
              <w:textAlignment w:val="auto"/>
              <w:rPr>
                <w:rFonts w:hint="eastAsia" w:ascii="宋体" w:hAnsi="宋体" w:eastAsia="宋体" w:cs="宋体"/>
                <w:strike w:val="0"/>
                <w:dstrike w:val="0"/>
                <w:color w:val="auto"/>
                <w:highlight w:val="none"/>
              </w:rPr>
            </w:pPr>
            <w:r>
              <w:rPr>
                <w:rFonts w:hint="eastAsia" w:ascii="宋体" w:hAnsi="宋体" w:cs="宋体"/>
                <w:strike w:val="0"/>
                <w:dstrike w:val="0"/>
                <w:color w:val="auto"/>
                <w:highlight w:val="none"/>
                <w:lang w:eastAsia="zh-CN"/>
              </w:rPr>
              <w:t>谈判响应人</w:t>
            </w:r>
            <w:r>
              <w:rPr>
                <w:rFonts w:hint="eastAsia" w:ascii="宋体" w:hAnsi="宋体" w:eastAsia="宋体" w:cs="宋体"/>
                <w:strike w:val="0"/>
                <w:dstrike w:val="0"/>
                <w:color w:val="auto"/>
                <w:highlight w:val="none"/>
              </w:rPr>
              <w:t>一旦中标，所派本</w:t>
            </w:r>
            <w:r>
              <w:rPr>
                <w:rFonts w:hint="eastAsia" w:ascii="宋体" w:hAnsi="宋体" w:eastAsia="宋体" w:cs="宋体"/>
                <w:strike w:val="0"/>
                <w:dstrike w:val="0"/>
                <w:color w:val="auto"/>
                <w:highlight w:val="none"/>
                <w:lang w:eastAsia="zh-CN"/>
              </w:rPr>
              <w:t>工程</w:t>
            </w:r>
            <w:r>
              <w:rPr>
                <w:rFonts w:hint="eastAsia" w:ascii="宋体" w:hAnsi="宋体" w:eastAsia="宋体" w:cs="宋体"/>
                <w:strike w:val="0"/>
                <w:dstrike w:val="0"/>
                <w:color w:val="auto"/>
                <w:highlight w:val="none"/>
              </w:rPr>
              <w:t>的项目经理、项目部关键岗位其他人员等在整个项目施工期内必须按合同约定在岗履职，否则发包人有权终止合同。由此造成的损失，</w:t>
            </w:r>
            <w:r>
              <w:rPr>
                <w:rFonts w:hint="eastAsia" w:ascii="宋体" w:hAnsi="宋体" w:eastAsia="宋体" w:cs="宋体"/>
                <w:strike w:val="0"/>
                <w:dstrike w:val="0"/>
                <w:color w:val="auto"/>
                <w:highlight w:val="none"/>
                <w:lang w:val="en-US" w:eastAsia="zh-CN"/>
              </w:rPr>
              <w:t>承包人</w:t>
            </w:r>
            <w:r>
              <w:rPr>
                <w:rFonts w:hint="eastAsia" w:ascii="宋体" w:hAnsi="宋体" w:eastAsia="宋体" w:cs="宋体"/>
                <w:strike w:val="0"/>
                <w:dstrike w:val="0"/>
                <w:color w:val="auto"/>
                <w:highlight w:val="none"/>
              </w:rPr>
              <w:t>自行承担并赔偿可能给</w:t>
            </w:r>
            <w:r>
              <w:rPr>
                <w:rFonts w:hint="eastAsia" w:ascii="宋体" w:hAnsi="宋体" w:eastAsia="宋体" w:cs="宋体"/>
                <w:strike w:val="0"/>
                <w:dstrike w:val="0"/>
                <w:color w:val="auto"/>
                <w:highlight w:val="none"/>
                <w:lang w:eastAsia="zh-CN"/>
              </w:rPr>
              <w:t>发包人</w:t>
            </w:r>
            <w:r>
              <w:rPr>
                <w:rFonts w:hint="eastAsia" w:ascii="宋体" w:hAnsi="宋体" w:eastAsia="宋体" w:cs="宋体"/>
                <w:strike w:val="0"/>
                <w:dstrike w:val="0"/>
                <w:color w:val="auto"/>
                <w:highlight w:val="none"/>
              </w:rPr>
              <w:t>造成的损失。</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00" w:firstLineChars="0"/>
              <w:textAlignment w:val="auto"/>
              <w:rPr>
                <w:rFonts w:hint="eastAsia" w:ascii="宋体" w:hAnsi="宋体" w:eastAsia="宋体" w:cs="宋体"/>
                <w:strike w:val="0"/>
                <w:dstrike w:val="0"/>
                <w:color w:val="auto"/>
                <w:highlight w:val="none"/>
              </w:rPr>
            </w:pPr>
            <w:r>
              <w:rPr>
                <w:rFonts w:hint="eastAsia" w:ascii="宋体" w:hAnsi="宋体" w:cs="宋体"/>
                <w:strike w:val="0"/>
                <w:dstrike w:val="0"/>
                <w:color w:val="auto"/>
                <w:highlight w:val="none"/>
                <w:lang w:eastAsia="zh-CN"/>
              </w:rPr>
              <w:t>成交人</w:t>
            </w:r>
            <w:r>
              <w:rPr>
                <w:rFonts w:hint="eastAsia" w:ascii="宋体" w:hAnsi="宋体" w:eastAsia="宋体" w:cs="宋体"/>
                <w:strike w:val="0"/>
                <w:dstrike w:val="0"/>
                <w:color w:val="auto"/>
                <w:highlight w:val="none"/>
              </w:rPr>
              <w:t>（承包人）不得擅自更换投标时所报项目经理、技术负责人。项目经理、技术负责人的变更应经发包人、监理单位、建设行政主管部门和</w:t>
            </w:r>
            <w:r>
              <w:rPr>
                <w:rFonts w:hint="eastAsia" w:ascii="宋体" w:hAnsi="宋体" w:cs="宋体"/>
                <w:strike w:val="0"/>
                <w:dstrike w:val="0"/>
                <w:color w:val="auto"/>
                <w:highlight w:val="none"/>
                <w:lang w:val="en-US" w:eastAsia="zh-CN"/>
              </w:rPr>
              <w:t>公共资源交易</w:t>
            </w:r>
            <w:r>
              <w:rPr>
                <w:rFonts w:hint="eastAsia" w:ascii="宋体" w:hAnsi="宋体" w:eastAsia="宋体" w:cs="宋体"/>
                <w:strike w:val="0"/>
                <w:dstrike w:val="0"/>
                <w:color w:val="auto"/>
                <w:highlight w:val="none"/>
              </w:rPr>
              <w:t>监督部门同意后，方可办理变更，且变更后的项目经理、技术负责人的执业资格、业绩等不应低于原</w:t>
            </w:r>
            <w:r>
              <w:rPr>
                <w:rFonts w:hint="eastAsia" w:ascii="宋体" w:hAnsi="宋体" w:cs="宋体"/>
                <w:strike w:val="0"/>
                <w:dstrike w:val="0"/>
                <w:color w:val="auto"/>
                <w:highlight w:val="none"/>
                <w:lang w:eastAsia="zh-CN"/>
              </w:rPr>
              <w:t>谈判</w:t>
            </w:r>
            <w:r>
              <w:rPr>
                <w:rFonts w:hint="eastAsia" w:ascii="宋体" w:hAnsi="宋体" w:eastAsia="宋体" w:cs="宋体"/>
                <w:strike w:val="0"/>
                <w:dstrike w:val="0"/>
                <w:color w:val="auto"/>
                <w:highlight w:val="none"/>
              </w:rPr>
              <w:t>文件要求。</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00" w:firstLineChars="0"/>
              <w:textAlignment w:val="auto"/>
              <w:rPr>
                <w:rFonts w:hint="eastAsia" w:ascii="宋体" w:hAnsi="宋体" w:eastAsia="宋体" w:cs="宋体"/>
                <w:strike/>
                <w:dstrike w:val="0"/>
                <w:color w:val="auto"/>
                <w:highlight w:val="none"/>
              </w:rPr>
            </w:pPr>
            <w:r>
              <w:rPr>
                <w:rFonts w:hint="eastAsia" w:ascii="宋体" w:hAnsi="宋体" w:cs="宋体"/>
                <w:strike w:val="0"/>
                <w:dstrike w:val="0"/>
                <w:color w:val="auto"/>
                <w:highlight w:val="none"/>
                <w:lang w:val="en-US" w:eastAsia="zh-CN"/>
              </w:rPr>
              <w:t>成交人</w:t>
            </w:r>
            <w:r>
              <w:rPr>
                <w:rFonts w:hint="eastAsia" w:ascii="宋体" w:hAnsi="宋体" w:eastAsia="宋体" w:cs="宋体"/>
                <w:strike w:val="0"/>
                <w:dstrike w:val="0"/>
                <w:color w:val="auto"/>
                <w:highlight w:val="none"/>
                <w:lang w:val="en-US" w:eastAsia="zh-CN"/>
              </w:rPr>
              <w:t>在开工前组建的施工项目管理机构，要符合住房城乡建设部及安徽省相关标准规定。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31</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材料要求</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03"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除发包人提供的材料、设备外，凡属承包范围内的所有材料、设备均由</w:t>
            </w:r>
            <w:r>
              <w:rPr>
                <w:rFonts w:hint="eastAsia" w:ascii="宋体" w:hAnsi="宋体" w:eastAsia="宋体" w:cs="宋体"/>
                <w:color w:val="auto"/>
                <w:highlight w:val="none"/>
                <w:lang w:val="en-US" w:eastAsia="zh-CN"/>
              </w:rPr>
              <w:t>承包人</w:t>
            </w:r>
            <w:r>
              <w:rPr>
                <w:rFonts w:hint="eastAsia" w:ascii="宋体" w:hAnsi="宋体" w:eastAsia="宋体" w:cs="宋体"/>
                <w:color w:val="auto"/>
                <w:highlight w:val="none"/>
              </w:rPr>
              <w:t>自行采购</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承包人必须选用</w:t>
            </w:r>
            <w:r>
              <w:rPr>
                <w:rFonts w:hint="eastAsia" w:ascii="宋体" w:hAnsi="宋体" w:eastAsia="宋体" w:cs="宋体"/>
                <w:color w:val="auto"/>
                <w:highlight w:val="none"/>
                <w:lang w:eastAsia="zh-CN"/>
              </w:rPr>
              <w:t>合格产品</w:t>
            </w:r>
            <w:r>
              <w:rPr>
                <w:rFonts w:hint="eastAsia" w:ascii="宋体" w:hAnsi="宋体" w:eastAsia="宋体" w:cs="宋体"/>
                <w:color w:val="auto"/>
                <w:highlight w:val="none"/>
              </w:rPr>
              <w:t>并经发包人同意。</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03"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对本工程的主要材料、设备及供应的厂商，须进行资格和品牌的认定，在采购前应将供应商的有关资料（如质保书、生产许可证等或备案要求）报监理单位审查，并经发包人批准后方可采购。否则，发包人有权不予验收进场，由此造成的损失由承包人自负，工期不予顺延。</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03"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由承包人实施采购的工程主要设备和材料由承包人实施，品牌、规格等须经发包人认可签字后方可进行采购，承包人采购计划应提前报发包人审定。因承包人资源投入不足，直接影响工程质量和工期，且无视监理工程师的警告而不做改进，从而引起工程的质量、进度和材料设备准备严重滞后时，发包人有权采取相关措施进行补救，相关措施的费用由承包人承担。</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03"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若承包人不能提供符合设计要求或合同约定的材料，发包人有权要求承包人停止采购，已经采购进场的勒令其退场，由此所造成的一切损失或发生的费用由承包人承担。</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03" w:firstLineChars="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谈判</w:t>
            </w:r>
            <w:r>
              <w:rPr>
                <w:rFonts w:hint="eastAsia" w:ascii="宋体" w:hAnsi="宋体" w:eastAsia="宋体" w:cs="宋体"/>
                <w:color w:val="auto"/>
                <w:highlight w:val="none"/>
              </w:rPr>
              <w:t>文件中提供的参考商标、品牌或标准是</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人为了方便</w:t>
            </w:r>
            <w:r>
              <w:rPr>
                <w:rFonts w:hint="eastAsia" w:ascii="宋体" w:hAnsi="宋体" w:cs="宋体"/>
                <w:color w:val="auto"/>
                <w:highlight w:val="none"/>
                <w:lang w:eastAsia="zh-CN"/>
              </w:rPr>
              <w:t>谈判响应人</w:t>
            </w:r>
            <w:r>
              <w:rPr>
                <w:rFonts w:hint="eastAsia" w:ascii="宋体" w:hAnsi="宋体" w:eastAsia="宋体" w:cs="宋体"/>
                <w:color w:val="auto"/>
                <w:highlight w:val="none"/>
              </w:rPr>
              <w:t>更明确、更清楚说明拟采购货物的技术规格和标准，并无限制性。</w:t>
            </w:r>
            <w:r>
              <w:rPr>
                <w:rFonts w:hint="eastAsia" w:ascii="宋体" w:hAnsi="宋体" w:eastAsia="宋体" w:cs="宋体"/>
                <w:color w:val="auto"/>
                <w:highlight w:val="none"/>
                <w:lang w:eastAsia="zh-CN"/>
              </w:rPr>
              <w:t>承包人在施工过程</w:t>
            </w:r>
            <w:r>
              <w:rPr>
                <w:rFonts w:hint="eastAsia" w:ascii="宋体" w:hAnsi="宋体" w:eastAsia="宋体" w:cs="宋体"/>
                <w:color w:val="auto"/>
                <w:highlight w:val="none"/>
              </w:rPr>
              <w:t>中若选用替代商标、品牌或标准，应优于或相当于参考商标、品牌或标准。承包人所选用</w:t>
            </w:r>
            <w:r>
              <w:rPr>
                <w:rFonts w:hint="eastAsia" w:ascii="宋体" w:hAnsi="宋体" w:eastAsia="宋体" w:cs="宋体"/>
                <w:color w:val="auto"/>
                <w:highlight w:val="none"/>
                <w:lang w:eastAsia="zh-CN"/>
              </w:rPr>
              <w:t>产品</w:t>
            </w:r>
            <w:r>
              <w:rPr>
                <w:rFonts w:hint="eastAsia" w:ascii="宋体" w:hAnsi="宋体" w:eastAsia="宋体" w:cs="宋体"/>
                <w:color w:val="auto"/>
                <w:highlight w:val="none"/>
              </w:rPr>
              <w:t>须经发包人同意后方可</w:t>
            </w:r>
            <w:r>
              <w:rPr>
                <w:rFonts w:hint="eastAsia" w:ascii="宋体" w:hAnsi="宋体" w:eastAsia="宋体" w:cs="宋体"/>
                <w:color w:val="auto"/>
                <w:highlight w:val="none"/>
                <w:lang w:eastAsia="zh-CN"/>
              </w:rPr>
              <w:t>使</w:t>
            </w:r>
            <w:r>
              <w:rPr>
                <w:rFonts w:hint="eastAsia" w:ascii="宋体" w:hAnsi="宋体" w:eastAsia="宋体" w:cs="宋体"/>
                <w:color w:val="auto"/>
                <w:highlight w:val="none"/>
              </w:rPr>
              <w:t>用。</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03"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根据《安庆市人民政府办公室关于在建设工程中加强预拌砂浆应用工作的通知》（宜政办秘【2016】65号）要求，本项目应使用预拌砂浆，</w:t>
            </w:r>
            <w:r>
              <w:rPr>
                <w:rFonts w:hint="eastAsia" w:ascii="宋体" w:hAnsi="宋体" w:cs="宋体"/>
                <w:color w:val="auto"/>
                <w:highlight w:val="none"/>
                <w:lang w:val="en-US" w:eastAsia="zh-CN"/>
              </w:rPr>
              <w:t>谈判响应人</w:t>
            </w:r>
            <w:r>
              <w:rPr>
                <w:rFonts w:hint="eastAsia" w:ascii="宋体" w:hAnsi="宋体" w:eastAsia="宋体" w:cs="宋体"/>
                <w:color w:val="auto"/>
                <w:highlight w:val="none"/>
                <w:lang w:val="en-US" w:eastAsia="zh-CN"/>
              </w:rPr>
              <w:t>应当将使用预拌砂浆的费用列入谈判报价。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default" w:ascii="宋体" w:hAnsi="宋体" w:cs="宋体"/>
                <w:color w:val="auto"/>
                <w:szCs w:val="21"/>
                <w:highlight w:val="none"/>
              </w:rPr>
            </w:pPr>
            <w:r>
              <w:rPr>
                <w:rFonts w:hint="eastAsia" w:ascii="宋体" w:hAnsi="宋体" w:eastAsia="宋体" w:cs="宋体"/>
                <w:color w:val="auto"/>
                <w:highlight w:val="none"/>
              </w:rPr>
              <w:t>费用缴纳</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（1）工程量清单、最高投标限价编制费用及招标代理费按竞争性谈判文件约定收取。两项费用均由成交人支付，谈判响应人在谈判报价时应考虑此项费用，采购人不再另行支付。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cs="宋体"/>
                <w:color w:val="auto"/>
                <w:szCs w:val="21"/>
                <w:highlight w:val="none"/>
                <w:lang w:val="en-US"/>
              </w:rPr>
            </w:pPr>
            <w:r>
              <w:rPr>
                <w:rFonts w:hint="eastAsia" w:ascii="宋体" w:hAnsi="宋体" w:cs="宋体"/>
                <w:color w:val="auto"/>
                <w:highlight w:val="none"/>
                <w:lang w:val="en-US" w:eastAsia="zh-CN"/>
              </w:rPr>
              <w:t xml:space="preserve">（2）成交候选人未在规定的期限内缴纳竞争性谈判文件约定的所有费用的，采购人有权取消其成交资格，并根据相关规定处理。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eastAsia" w:ascii="宋体" w:hAnsi="宋体" w:cs="宋体"/>
                <w:color w:val="auto"/>
                <w:szCs w:val="21"/>
                <w:highlight w:val="none"/>
              </w:rPr>
            </w:pPr>
            <w:r>
              <w:rPr>
                <w:rFonts w:hint="eastAsia" w:ascii="宋体" w:hAnsi="宋体" w:eastAsia="宋体" w:cs="宋体"/>
                <w:b w:val="0"/>
                <w:bCs w:val="0"/>
                <w:color w:val="auto"/>
                <w:highlight w:val="none"/>
                <w:lang w:eastAsia="zh-CN"/>
              </w:rPr>
              <w:t>“危大工程”和“超危大工程”</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34</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eastAsia="宋体" w:cs="宋体"/>
                <w:b w:val="0"/>
                <w:bCs w:val="0"/>
                <w:color w:val="auto"/>
                <w:highlight w:val="none"/>
                <w:lang w:val="en-US" w:eastAsia="zh-CN"/>
              </w:rPr>
              <w:t>扬尘污染防治</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left="0" w:leftChars="0"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lang w:eastAsia="zh-CN"/>
              </w:rPr>
              <w:t>本项目最高谈判限价已计扬尘污染防治费，</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lang w:eastAsia="zh-CN"/>
              </w:rPr>
              <w:t>应按照建筑工程施工扬尘污染防治相关规定做好扬尘污染防治工作，重点做好现场工地围挡、车辆冲洗、道路和堆场硬化、裸土覆盖（绿化）等抑尘降尘措施。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35</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eastAsia="宋体" w:cs="宋体"/>
                <w:color w:val="auto"/>
                <w:highlight w:val="none"/>
                <w:lang w:eastAsia="zh-CN"/>
              </w:rPr>
              <w:t>其他</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left="0" w:right="0"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①</w:t>
            </w:r>
            <w:r>
              <w:rPr>
                <w:rFonts w:hint="eastAsia" w:ascii="宋体" w:hAnsi="宋体" w:eastAsia="宋体" w:cs="宋体"/>
                <w:color w:val="auto"/>
                <w:highlight w:val="none"/>
              </w:rPr>
              <w:t>开评标过程中，</w:t>
            </w:r>
            <w:r>
              <w:rPr>
                <w:rFonts w:hint="eastAsia" w:ascii="宋体" w:hAnsi="宋体" w:cs="宋体"/>
                <w:color w:val="auto"/>
                <w:highlight w:val="none"/>
                <w:lang w:eastAsia="zh-CN"/>
              </w:rPr>
              <w:t>谈判响应人</w:t>
            </w:r>
            <w:r>
              <w:rPr>
                <w:rFonts w:hint="eastAsia" w:ascii="宋体" w:hAnsi="宋体" w:eastAsia="宋体" w:cs="宋体"/>
                <w:color w:val="auto"/>
                <w:highlight w:val="none"/>
                <w:lang w:eastAsia="zh-CN"/>
              </w:rPr>
              <w:t>谈判报价</w:t>
            </w:r>
            <w:r>
              <w:rPr>
                <w:rFonts w:hint="eastAsia" w:ascii="宋体" w:hAnsi="宋体" w:eastAsia="宋体" w:cs="宋体"/>
                <w:color w:val="auto"/>
                <w:highlight w:val="none"/>
              </w:rPr>
              <w:t>与公布的</w:t>
            </w:r>
            <w:r>
              <w:rPr>
                <w:rFonts w:hint="eastAsia" w:ascii="宋体" w:hAnsi="宋体" w:eastAsia="宋体" w:cs="宋体"/>
                <w:color w:val="auto"/>
                <w:highlight w:val="none"/>
                <w:lang w:eastAsia="zh-CN"/>
              </w:rPr>
              <w:t>最高谈判限价</w:t>
            </w:r>
            <w:r>
              <w:rPr>
                <w:rFonts w:hint="eastAsia" w:ascii="宋体" w:hAnsi="宋体" w:eastAsia="宋体" w:cs="宋体"/>
                <w:color w:val="auto"/>
                <w:highlight w:val="none"/>
              </w:rPr>
              <w:t>相比降幅过小，或</w:t>
            </w:r>
            <w:r>
              <w:rPr>
                <w:rFonts w:hint="eastAsia" w:ascii="宋体" w:hAnsi="宋体" w:cs="宋体"/>
                <w:color w:val="auto"/>
                <w:highlight w:val="none"/>
                <w:lang w:eastAsia="zh-CN"/>
              </w:rPr>
              <w:t>谈判响应人</w:t>
            </w:r>
            <w:r>
              <w:rPr>
                <w:rFonts w:hint="eastAsia" w:ascii="宋体" w:hAnsi="宋体" w:eastAsia="宋体" w:cs="宋体"/>
                <w:color w:val="auto"/>
                <w:highlight w:val="none"/>
                <w:lang w:eastAsia="zh-CN"/>
              </w:rPr>
              <w:t>谈判报价</w:t>
            </w:r>
            <w:r>
              <w:rPr>
                <w:rFonts w:hint="eastAsia" w:ascii="宋体" w:hAnsi="宋体" w:eastAsia="宋体" w:cs="宋体"/>
                <w:color w:val="auto"/>
                <w:highlight w:val="none"/>
              </w:rPr>
              <w:t>明显缺乏竞争性的，</w:t>
            </w:r>
            <w:r>
              <w:rPr>
                <w:rFonts w:hint="eastAsia" w:ascii="宋体" w:hAnsi="宋体" w:cs="宋体"/>
                <w:color w:val="auto"/>
                <w:highlight w:val="none"/>
                <w:lang w:eastAsia="zh-CN"/>
              </w:rPr>
              <w:t>谈判小组</w:t>
            </w:r>
            <w:r>
              <w:rPr>
                <w:rFonts w:hint="eastAsia" w:ascii="宋体" w:hAnsi="宋体" w:eastAsia="宋体" w:cs="宋体"/>
                <w:color w:val="auto"/>
                <w:highlight w:val="none"/>
              </w:rPr>
              <w:t>可以否决所有投标。</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left="0" w:right="0"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②实行暂估价的工程制安项目未达到公开招标标准和规模的，按实调价后结合谈判报价下浮率作为结算价；实行暂估价的货物类项目未达到公开招标标准和规模的，由发包人和承包人在合同中约定具体结算方式。以上各项最终工程结算以发包人或其委托的其他机构审定结果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leftChars="0" w:right="0" w:rightChars="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color w:val="auto"/>
                <w:highlight w:val="none"/>
                <w:lang w:eastAsia="zh-CN"/>
              </w:rPr>
            </w:pPr>
            <w:r>
              <w:rPr>
                <w:rFonts w:hint="eastAsia" w:ascii="宋体" w:hAnsi="宋体" w:cs="宋体"/>
                <w:color w:val="auto"/>
                <w:szCs w:val="21"/>
                <w:highlight w:val="none"/>
              </w:rPr>
              <w:t>质疑函递交方式、接收部门、联系电话和通讯地址</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递交方式：电子形式</w:t>
            </w:r>
          </w:p>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接收部门：</w:t>
            </w:r>
            <w:r>
              <w:rPr>
                <w:rFonts w:hint="eastAsia" w:ascii="宋体" w:hAnsi="宋体" w:cs="宋体"/>
                <w:color w:val="auto"/>
                <w:szCs w:val="21"/>
                <w:highlight w:val="none"/>
                <w:lang w:val="en-US" w:eastAsia="zh-CN"/>
              </w:rPr>
              <w:t>交易一</w:t>
            </w:r>
            <w:r>
              <w:rPr>
                <w:rFonts w:hint="eastAsia" w:ascii="宋体" w:hAnsi="宋体" w:cs="宋体"/>
                <w:color w:val="auto"/>
                <w:szCs w:val="21"/>
                <w:highlight w:val="none"/>
              </w:rPr>
              <w:t>部</w:t>
            </w:r>
          </w:p>
          <w:p>
            <w:pPr>
              <w:keepNext w:val="0"/>
              <w:keepLines w:val="0"/>
              <w:suppressLineNumbers w:val="0"/>
              <w:spacing w:before="0" w:beforeAutospacing="0" w:after="0" w:afterAutospacing="0" w:line="42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联系电话：0556-599115</w:t>
            </w:r>
            <w:r>
              <w:rPr>
                <w:rFonts w:hint="eastAsia" w:ascii="宋体" w:hAnsi="宋体" w:cs="宋体"/>
                <w:color w:val="auto"/>
                <w:szCs w:val="21"/>
                <w:highlight w:val="none"/>
                <w:lang w:val="en-US" w:eastAsia="zh-CN"/>
              </w:rPr>
              <w:t>6</w:t>
            </w:r>
          </w:p>
          <w:p>
            <w:pPr>
              <w:keepNext w:val="0"/>
              <w:keepLines w:val="0"/>
              <w:suppressLineNumbers w:val="0"/>
              <w:spacing w:before="0" w:beforeAutospacing="0" w:after="0" w:afterAutospacing="0" w:line="420" w:lineRule="exact"/>
              <w:ind w:left="0" w:right="0"/>
              <w:rPr>
                <w:rFonts w:hint="eastAsia" w:ascii="宋体" w:hAnsi="宋体" w:cs="宋体"/>
                <w:color w:val="auto"/>
                <w:highlight w:val="none"/>
                <w:lang w:val="en-US" w:eastAsia="zh-CN"/>
              </w:rPr>
            </w:pPr>
            <w:r>
              <w:rPr>
                <w:rFonts w:hint="eastAsia" w:ascii="宋体" w:hAnsi="宋体" w:cs="宋体"/>
                <w:color w:val="auto"/>
                <w:szCs w:val="21"/>
                <w:highlight w:val="none"/>
              </w:rPr>
              <w:t>通讯地址：安庆市</w:t>
            </w:r>
            <w:r>
              <w:rPr>
                <w:rFonts w:hint="eastAsia" w:ascii="宋体" w:hAnsi="宋体" w:cs="宋体"/>
                <w:color w:val="auto"/>
                <w:szCs w:val="21"/>
                <w:highlight w:val="none"/>
                <w:lang w:val="en-US" w:eastAsia="zh-CN"/>
              </w:rPr>
              <w:t>大观区</w:t>
            </w:r>
            <w:r>
              <w:rPr>
                <w:rFonts w:hint="eastAsia" w:ascii="宋体" w:hAnsi="宋体" w:cs="宋体"/>
                <w:color w:val="auto"/>
                <w:szCs w:val="21"/>
                <w:highlight w:val="none"/>
              </w:rPr>
              <w:t>龙山路21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号五楼</w:t>
            </w:r>
            <w:r>
              <w:rPr>
                <w:rFonts w:hint="eastAsia" w:ascii="宋体" w:hAnsi="宋体" w:cs="宋体"/>
                <w:color w:val="auto"/>
                <w:szCs w:val="21"/>
                <w:highlight w:val="none"/>
                <w:lang w:val="en-US" w:eastAsia="zh-CN"/>
              </w:rPr>
              <w:t>交易一</w:t>
            </w:r>
            <w:r>
              <w:rPr>
                <w:rFonts w:hint="eastAsia" w:ascii="宋体" w:hAnsi="宋体" w:cs="宋体"/>
                <w:color w:val="auto"/>
                <w:szCs w:val="21"/>
                <w:highlight w:val="none"/>
              </w:rPr>
              <w:t>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4"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37</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default" w:ascii="宋体" w:hAnsi="宋体" w:cs="宋体"/>
                <w:color w:val="auto"/>
                <w:highlight w:val="none"/>
              </w:rPr>
            </w:pPr>
            <w:r>
              <w:rPr>
                <w:rFonts w:hint="eastAsia" w:ascii="宋体" w:hAnsi="宋体" w:cs="宋体"/>
                <w:color w:val="auto"/>
                <w:highlight w:val="none"/>
              </w:rPr>
              <w:t>网上招标投标</w:t>
            </w:r>
          </w:p>
          <w:p>
            <w:pPr>
              <w:keepNext w:val="0"/>
              <w:keepLines w:val="0"/>
              <w:suppressLineNumbers w:val="0"/>
              <w:spacing w:before="0" w:beforeAutospacing="0" w:after="0" w:afterAutospacing="0" w:line="420" w:lineRule="exact"/>
              <w:ind w:left="0" w:right="0"/>
              <w:jc w:val="center"/>
              <w:rPr>
                <w:rFonts w:hint="default" w:ascii="宋体" w:hAnsi="宋体" w:cs="宋体"/>
                <w:color w:val="auto"/>
                <w:szCs w:val="21"/>
                <w:highlight w:val="none"/>
              </w:rPr>
            </w:pPr>
            <w:r>
              <w:rPr>
                <w:rFonts w:hint="eastAsia" w:ascii="宋体" w:hAnsi="宋体" w:cs="宋体"/>
                <w:color w:val="auto"/>
                <w:highlight w:val="none"/>
              </w:rPr>
              <w:t>注意事项</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firstLine="420" w:firstLineChars="200"/>
              <w:rPr>
                <w:rFonts w:hint="default" w:ascii="宋体" w:hAnsi="宋体" w:cs="宋体"/>
                <w:color w:val="auto"/>
                <w:szCs w:val="21"/>
                <w:highlight w:val="none"/>
              </w:rPr>
            </w:pPr>
            <w:r>
              <w:rPr>
                <w:rFonts w:hint="eastAsia" w:ascii="宋体" w:hAnsi="宋体" w:cs="宋体"/>
                <w:color w:val="auto"/>
                <w:szCs w:val="21"/>
                <w:highlight w:val="none"/>
              </w:rPr>
              <w:t>1、本次采购不要求谈判响应人提供纸质版谈判响应文件，竞争性谈判文件中所指的谈判响应文件如未特别注明，均为谈判响应人按</w:t>
            </w:r>
            <w:r>
              <w:rPr>
                <w:rFonts w:hint="eastAsia" w:ascii="宋体" w:hAnsi="宋体" w:cs="宋体"/>
                <w:color w:val="auto"/>
                <w:highlight w:val="none"/>
              </w:rPr>
              <w:t>约定</w:t>
            </w:r>
            <w:r>
              <w:rPr>
                <w:rFonts w:hint="eastAsia" w:ascii="宋体" w:hAnsi="宋体" w:cs="宋体"/>
                <w:color w:val="auto"/>
                <w:szCs w:val="21"/>
                <w:highlight w:val="none"/>
              </w:rPr>
              <w:t>格式上传的电子版谈判响应文件。</w:t>
            </w:r>
          </w:p>
          <w:p>
            <w:pPr>
              <w:keepNext w:val="0"/>
              <w:keepLines w:val="0"/>
              <w:suppressLineNumbers w:val="0"/>
              <w:spacing w:before="0" w:beforeAutospacing="0" w:after="0" w:afterAutospacing="0" w:line="420" w:lineRule="exact"/>
              <w:ind w:left="0" w:right="0" w:firstLine="420"/>
              <w:rPr>
                <w:rFonts w:hint="default" w:ascii="宋体" w:hAnsi="宋体" w:cs="宋体"/>
                <w:color w:val="auto"/>
                <w:szCs w:val="21"/>
                <w:highlight w:val="none"/>
              </w:rPr>
            </w:pPr>
            <w:r>
              <w:rPr>
                <w:rFonts w:hint="eastAsia" w:ascii="宋体" w:hAnsi="宋体" w:cs="宋体"/>
                <w:color w:val="auto"/>
                <w:szCs w:val="21"/>
                <w:highlight w:val="none"/>
              </w:rPr>
              <w:t>2、谈判响应人须使用最新版</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制作工具，以免造成谈判响应文件制作错误。软件启动时也将进行提示（需在国际互联网络通畅状态），各谈判响应人需注意更新，如因此导致谈判响应无效，责任自负。</w:t>
            </w:r>
          </w:p>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技术支持服务热线:4009980000，24小时服务QQ:4008503300。</w:t>
            </w:r>
          </w:p>
          <w:p>
            <w:pPr>
              <w:keepNext w:val="0"/>
              <w:keepLines w:val="0"/>
              <w:suppressLineNumbers w:val="0"/>
              <w:spacing w:before="0" w:beforeAutospacing="0" w:after="0" w:afterAutospacing="0" w:line="4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    3、谈判响应人制作资格审查材料时请插上CA数字证书，从安徽省公共资源交易市场主体库中挑选相关资料。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 xml:space="preserve">    4、谈判响应人须用CA数字证书签章和加密谈判响应文件，必须使用企业锁。如未办理CA数字证书请及时到安徽省电子认证管理中心驻安庆市公共资源交易中心一楼服务窗口办理，联系电话0556-5991201。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2"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38</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谈判响应文件制作（刻录）方法</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auto"/>
                <w:highlight w:val="none"/>
              </w:rPr>
            </w:pPr>
            <w:r>
              <w:rPr>
                <w:rFonts w:hint="eastAsia" w:ascii="宋体" w:hAnsi="宋体" w:cs="宋体"/>
                <w:color w:val="auto"/>
                <w:highlight w:val="none"/>
              </w:rPr>
              <w:t xml:space="preserve">   1、</w:t>
            </w:r>
            <w:r>
              <w:rPr>
                <w:rFonts w:hint="eastAsia" w:ascii="宋体" w:hAnsi="宋体" w:cs="宋体"/>
                <w:color w:val="auto"/>
                <w:szCs w:val="21"/>
                <w:highlight w:val="none"/>
              </w:rPr>
              <w:t>谈判响应</w:t>
            </w:r>
            <w:r>
              <w:rPr>
                <w:rFonts w:hint="eastAsia" w:ascii="宋体" w:hAnsi="宋体" w:cs="宋体"/>
                <w:color w:val="auto"/>
                <w:highlight w:val="none"/>
              </w:rPr>
              <w:t>人应</w:t>
            </w:r>
            <w:r>
              <w:rPr>
                <w:rFonts w:hint="eastAsia" w:ascii="宋体" w:hAnsi="宋体" w:cs="宋体"/>
                <w:color w:val="auto"/>
                <w:highlight w:val="none"/>
                <w:lang w:eastAsia="zh-CN"/>
              </w:rPr>
              <w:t>登录</w:t>
            </w:r>
            <w:r>
              <w:rPr>
                <w:rFonts w:hint="eastAsia" w:ascii="宋体" w:hAnsi="宋体" w:cs="宋体"/>
                <w:color w:val="auto"/>
                <w:highlight w:val="none"/>
              </w:rPr>
              <w:t>网址（</w:t>
            </w:r>
            <w:r>
              <w:rPr>
                <w:rFonts w:hint="default"/>
                <w:color w:val="auto"/>
                <w:highlight w:val="none"/>
              </w:rPr>
              <w:fldChar w:fldCharType="begin"/>
            </w:r>
            <w:r>
              <w:rPr>
                <w:rFonts w:hint="default"/>
                <w:color w:val="auto"/>
                <w:highlight w:val="none"/>
              </w:rPr>
              <w:instrText xml:space="preserve"> HYPERLINK "http://183.167.246.178:8605/TPBidder" </w:instrText>
            </w:r>
            <w:r>
              <w:rPr>
                <w:rFonts w:hint="default"/>
                <w:color w:val="auto"/>
                <w:highlight w:val="none"/>
              </w:rPr>
              <w:fldChar w:fldCharType="separate"/>
            </w:r>
            <w:r>
              <w:rPr>
                <w:rFonts w:hint="eastAsia" w:ascii="宋体" w:hAnsi="宋体" w:cs="宋体"/>
                <w:color w:val="auto"/>
                <w:highlight w:val="none"/>
              </w:rPr>
              <w:t>http://183.167.246.178:8605/TPBidder</w:t>
            </w:r>
            <w:r>
              <w:rPr>
                <w:rFonts w:hint="eastAsia" w:ascii="宋体" w:hAnsi="宋体" w:cs="宋体"/>
                <w:color w:val="auto"/>
                <w:highlight w:val="none"/>
              </w:rPr>
              <w:fldChar w:fldCharType="end"/>
            </w:r>
            <w:r>
              <w:rPr>
                <w:rFonts w:hint="eastAsia" w:ascii="宋体" w:hAnsi="宋体" w:cs="宋体"/>
                <w:color w:val="auto"/>
                <w:highlight w:val="none"/>
              </w:rPr>
              <w:t>）点击“</w:t>
            </w:r>
            <w:r>
              <w:rPr>
                <w:rFonts w:hint="eastAsia" w:ascii="宋体" w:hAnsi="宋体" w:cs="宋体"/>
                <w:color w:val="auto"/>
                <w:highlight w:val="none"/>
                <w:lang w:eastAsia="zh-CN"/>
              </w:rPr>
              <w:t>谈判响应文件</w:t>
            </w:r>
            <w:r>
              <w:rPr>
                <w:rFonts w:hint="eastAsia" w:ascii="宋体" w:hAnsi="宋体" w:cs="宋体"/>
                <w:color w:val="auto"/>
                <w:highlight w:val="none"/>
              </w:rPr>
              <w:t>制作工具下载”下载后安装</w:t>
            </w:r>
            <w:r>
              <w:rPr>
                <w:rFonts w:hint="eastAsia" w:ascii="宋体" w:hAnsi="宋体" w:cs="宋体"/>
                <w:color w:val="auto"/>
                <w:highlight w:val="none"/>
                <w:lang w:eastAsia="zh-CN"/>
              </w:rPr>
              <w:t>谈判响应文件</w:t>
            </w:r>
            <w:r>
              <w:rPr>
                <w:rFonts w:hint="eastAsia" w:ascii="宋体" w:hAnsi="宋体" w:cs="宋体"/>
                <w:color w:val="auto"/>
                <w:highlight w:val="none"/>
              </w:rPr>
              <w:t>制作工具软件。</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 xml:space="preserve">    2、使用</w:t>
            </w:r>
            <w:r>
              <w:rPr>
                <w:rFonts w:hint="eastAsia" w:ascii="宋体" w:hAnsi="宋体" w:cs="宋体"/>
                <w:color w:val="auto"/>
                <w:highlight w:val="none"/>
                <w:lang w:eastAsia="zh-CN"/>
              </w:rPr>
              <w:t>谈判响应文件</w:t>
            </w:r>
            <w:r>
              <w:rPr>
                <w:rFonts w:hint="eastAsia" w:ascii="宋体" w:hAnsi="宋体" w:cs="宋体"/>
                <w:color w:val="auto"/>
                <w:highlight w:val="none"/>
              </w:rPr>
              <w:t>制作工具方法：插入企业CA数字证书，打开“</w:t>
            </w:r>
            <w:r>
              <w:rPr>
                <w:rFonts w:hint="eastAsia" w:ascii="宋体" w:hAnsi="宋体" w:cs="宋体"/>
                <w:b/>
                <w:color w:val="auto"/>
                <w:highlight w:val="none"/>
              </w:rPr>
              <w:t>新点</w:t>
            </w:r>
            <w:r>
              <w:rPr>
                <w:rFonts w:hint="eastAsia" w:ascii="宋体" w:hAnsi="宋体" w:cs="宋体"/>
                <w:b/>
                <w:color w:val="auto"/>
                <w:highlight w:val="none"/>
                <w:lang w:eastAsia="zh-CN"/>
              </w:rPr>
              <w:t>谈判响应文件</w:t>
            </w:r>
            <w:r>
              <w:rPr>
                <w:rFonts w:hint="eastAsia" w:ascii="宋体" w:hAnsi="宋体" w:cs="宋体"/>
                <w:b/>
                <w:color w:val="auto"/>
                <w:highlight w:val="none"/>
              </w:rPr>
              <w:t>制作软件（安徽省互联互通版）</w:t>
            </w:r>
            <w:r>
              <w:rPr>
                <w:rFonts w:hint="eastAsia" w:ascii="宋体" w:hAnsi="宋体" w:cs="宋体"/>
                <w:color w:val="auto"/>
                <w:highlight w:val="none"/>
              </w:rPr>
              <w:t>”，点击“新建投标”按钮并点击“浏览”按钮并找到下载的.AQZF格式的竞争性谈判文件，点选择CA数字证书然后点击“新建项目”然后选择保存文件路径保存，打开</w:t>
            </w:r>
            <w:r>
              <w:rPr>
                <w:rFonts w:hint="eastAsia" w:ascii="宋体" w:hAnsi="宋体" w:cs="宋体"/>
                <w:color w:val="auto"/>
                <w:highlight w:val="none"/>
                <w:lang w:eastAsia="zh-CN"/>
              </w:rPr>
              <w:t>谈判响应文件</w:t>
            </w:r>
            <w:r>
              <w:rPr>
                <w:rFonts w:hint="eastAsia" w:ascii="宋体" w:hAnsi="宋体" w:cs="宋体"/>
                <w:color w:val="auto"/>
                <w:highlight w:val="none"/>
              </w:rPr>
              <w:t>制作工具软件。</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 xml:space="preserve">    3、</w:t>
            </w:r>
            <w:r>
              <w:rPr>
                <w:rFonts w:hint="eastAsia" w:ascii="宋体" w:hAnsi="宋体" w:cs="宋体"/>
                <w:color w:val="auto"/>
                <w:highlight w:val="none"/>
                <w:lang w:eastAsia="zh-CN"/>
              </w:rPr>
              <w:t>谈判响应文件</w:t>
            </w:r>
            <w:r>
              <w:rPr>
                <w:rFonts w:hint="eastAsia" w:ascii="宋体" w:hAnsi="宋体" w:cs="宋体"/>
                <w:color w:val="auto"/>
                <w:highlight w:val="none"/>
              </w:rPr>
              <w:t>制作工具使用说明：查看安庆市公共资源交易服务网-下载中心-下载专区“</w:t>
            </w:r>
            <w:r>
              <w:rPr>
                <w:rFonts w:hint="eastAsia" w:ascii="宋体" w:hAnsi="宋体" w:cs="宋体"/>
                <w:color w:val="auto"/>
                <w:highlight w:val="none"/>
                <w:lang w:eastAsia="zh-CN"/>
              </w:rPr>
              <w:t>谈判响应文件</w:t>
            </w:r>
            <w:r>
              <w:rPr>
                <w:rFonts w:hint="eastAsia" w:ascii="宋体" w:hAnsi="宋体" w:cs="宋体"/>
                <w:color w:val="auto"/>
                <w:highlight w:val="none"/>
              </w:rPr>
              <w:t>制作操作说明”制作</w:t>
            </w:r>
            <w:r>
              <w:rPr>
                <w:rFonts w:hint="eastAsia" w:ascii="宋体" w:hAnsi="宋体" w:cs="宋体"/>
                <w:color w:val="auto"/>
                <w:szCs w:val="21"/>
                <w:highlight w:val="none"/>
              </w:rPr>
              <w:t>谈判响应</w:t>
            </w:r>
            <w:r>
              <w:rPr>
                <w:rFonts w:hint="eastAsia" w:ascii="宋体" w:hAnsi="宋体" w:cs="宋体"/>
                <w:color w:val="auto"/>
                <w:highlight w:val="none"/>
              </w:rPr>
              <w:t>文件。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cs="宋体"/>
                <w:color w:val="auto"/>
                <w:szCs w:val="21"/>
                <w:highlight w:val="none"/>
              </w:rPr>
            </w:pPr>
            <w:r>
              <w:rPr>
                <w:rFonts w:hint="eastAsia" w:ascii="宋体" w:hAnsi="宋体" w:cs="宋体"/>
                <w:color w:val="auto"/>
                <w:highlight w:val="none"/>
              </w:rPr>
              <w:t xml:space="preserve">    技术支持服务热线:4009980000，24小时服务QQ:4008503300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39</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default" w:ascii="宋体" w:hAnsi="宋体" w:cs="宋体"/>
                <w:color w:val="auto"/>
                <w:szCs w:val="21"/>
                <w:highlight w:val="none"/>
              </w:rPr>
            </w:pPr>
            <w:r>
              <w:rPr>
                <w:rFonts w:hint="eastAsia" w:ascii="宋体" w:hAnsi="宋体"/>
                <w:color w:val="auto"/>
                <w:szCs w:val="21"/>
                <w:highlight w:val="none"/>
              </w:rPr>
              <w:t>原件</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420" w:firstLineChars="200"/>
              <w:textAlignment w:val="auto"/>
              <w:rPr>
                <w:rFonts w:hint="default" w:ascii="宋体" w:hAnsi="宋体" w:cs="宋体"/>
                <w:color w:val="auto"/>
                <w:highlight w:val="none"/>
              </w:rPr>
            </w:pPr>
            <w:r>
              <w:rPr>
                <w:rFonts w:hint="eastAsia" w:ascii="宋体" w:hAnsi="宋体" w:cs="宋体"/>
                <w:color w:val="auto"/>
                <w:szCs w:val="21"/>
                <w:highlight w:val="none"/>
              </w:rPr>
              <w:t>本次</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rPr>
              <w:t>时不要求谈判响应人携带相关证件、业绩及奖项的原件（谈判文件另有要求的除外）。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40</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2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备   注</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lang w:eastAsia="zh-CN"/>
              </w:rPr>
            </w:pPr>
            <w:r>
              <w:rPr>
                <w:rFonts w:hint="eastAsia"/>
                <w:lang w:val="en-US" w:eastAsia="zh-CN"/>
              </w:rPr>
              <w:t>1.</w:t>
            </w:r>
            <w:r>
              <w:rPr>
                <w:rFonts w:hint="eastAsia"/>
              </w:rPr>
              <w:t>本竞争性谈判文件的解释权归采购单位</w:t>
            </w:r>
            <w:r>
              <w:rPr>
                <w:rFonts w:hint="eastAsia"/>
                <w:lang w:eastAsia="zh-CN"/>
              </w:rPr>
              <w:t>。</w:t>
            </w:r>
          </w:p>
          <w:p>
            <w:pPr>
              <w:pStyle w:val="4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Autospacing="0" w:line="420" w:lineRule="exact"/>
              <w:ind w:right="0"/>
              <w:textAlignment w:val="auto"/>
              <w:rPr>
                <w:rFonts w:hint="eastAsia"/>
                <w:lang w:val="en-US" w:eastAsia="zh-CN"/>
              </w:rPr>
            </w:pPr>
            <w:r>
              <w:rPr>
                <w:rFonts w:hint="eastAsia"/>
                <w:lang w:val="en-US" w:eastAsia="zh-CN"/>
              </w:rPr>
              <w:t>2.本项目最高投标限价与最高限价与最高谈判限价同义。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eastAsia="宋体"/>
                <w:lang w:val="en-US" w:eastAsia="zh-CN"/>
              </w:rPr>
            </w:pPr>
            <w:r>
              <w:rPr>
                <w:rFonts w:hint="eastAsia"/>
                <w:lang w:val="en-US" w:eastAsia="zh-CN"/>
              </w:rPr>
              <w:t>3.中小企业声明函（如有）和残疾人福利性单位声明函（如有）随成交公告同时公告。</w:t>
            </w:r>
          </w:p>
        </w:tc>
      </w:tr>
    </w:tbl>
    <w:p>
      <w:pPr>
        <w:pStyle w:val="65"/>
        <w:pageBreakBefore w:val="0"/>
        <w:kinsoku/>
        <w:overflowPunct/>
        <w:topLinePunct w:val="0"/>
        <w:bidi w:val="0"/>
        <w:snapToGrid/>
        <w:spacing w:line="440" w:lineRule="exact"/>
        <w:textAlignment w:val="auto"/>
        <w:rPr>
          <w:rFonts w:ascii="宋体" w:hAnsi="宋体"/>
          <w:color w:val="auto"/>
          <w:highlight w:val="none"/>
        </w:rPr>
      </w:pPr>
      <w:bookmarkStart w:id="43" w:name="_Toc23232"/>
      <w:bookmarkStart w:id="44" w:name="_Toc14999"/>
      <w:r>
        <w:rPr>
          <w:rFonts w:hint="eastAsia" w:ascii="宋体" w:hAnsi="宋体"/>
          <w:color w:val="auto"/>
          <w:highlight w:val="none"/>
        </w:rPr>
        <w:t>第二节  谈判响应人须知</w:t>
      </w:r>
      <w:bookmarkEnd w:id="43"/>
      <w:bookmarkEnd w:id="44"/>
    </w:p>
    <w:p>
      <w:pPr>
        <w:pStyle w:val="5"/>
        <w:pageBreakBefore w:val="0"/>
        <w:kinsoku/>
        <w:overflowPunct/>
        <w:topLinePunct w:val="0"/>
        <w:bidi w:val="0"/>
        <w:snapToGrid/>
        <w:spacing w:line="440" w:lineRule="exact"/>
        <w:ind w:firstLine="472" w:firstLineChars="196"/>
        <w:jc w:val="both"/>
        <w:textAlignment w:val="auto"/>
        <w:rPr>
          <w:rFonts w:hAnsi="宋体" w:cs="宋体"/>
          <w:color w:val="auto"/>
          <w:highlight w:val="none"/>
        </w:rPr>
      </w:pPr>
      <w:bookmarkStart w:id="45" w:name="_Toc7034"/>
      <w:bookmarkStart w:id="46" w:name="_Toc29944"/>
      <w:r>
        <w:rPr>
          <w:rFonts w:hint="eastAsia" w:hAnsi="宋体" w:cs="宋体"/>
          <w:color w:val="auto"/>
          <w:highlight w:val="none"/>
        </w:rPr>
        <w:t>一、总则</w:t>
      </w:r>
      <w:bookmarkEnd w:id="45"/>
      <w:bookmarkEnd w:id="46"/>
    </w:p>
    <w:p>
      <w:pPr>
        <w:pageBreakBefore w:val="0"/>
        <w:kinsoku/>
        <w:overflowPunct/>
        <w:topLinePunct w:val="0"/>
        <w:bidi w:val="0"/>
        <w:snapToGrid/>
        <w:spacing w:line="440" w:lineRule="exact"/>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1、</w:t>
      </w:r>
      <w:r>
        <w:rPr>
          <w:rFonts w:hint="eastAsia" w:ascii="宋体" w:hAnsi="宋体" w:cs="宋体"/>
          <w:color w:val="auto"/>
          <w:szCs w:val="21"/>
          <w:highlight w:val="none"/>
        </w:rPr>
        <w:t>本竞争性谈判文件</w:t>
      </w:r>
      <w:r>
        <w:rPr>
          <w:rFonts w:hint="eastAsia" w:ascii="宋体" w:hAnsi="宋体" w:cs="宋体"/>
          <w:color w:val="auto"/>
          <w:szCs w:val="21"/>
          <w:highlight w:val="none"/>
          <w:lang w:val="en-US" w:eastAsia="zh-CN"/>
        </w:rPr>
        <w:t>参照</w:t>
      </w:r>
      <w:r>
        <w:rPr>
          <w:rFonts w:hint="eastAsia" w:ascii="宋体" w:hAnsi="宋体" w:cs="宋体"/>
          <w:color w:val="auto"/>
          <w:szCs w:val="21"/>
          <w:highlight w:val="none"/>
        </w:rPr>
        <w:t>《中华人民共和国政府采购法》（以下简称“《政府采购法》”）和《中华人民共和国政府采购法实施条例》等有关法律、法规、规章制定。</w:t>
      </w:r>
    </w:p>
    <w:p>
      <w:pPr>
        <w:pageBreakBefore w:val="0"/>
        <w:kinsoku/>
        <w:overflowPunct/>
        <w:topLinePunct w:val="0"/>
        <w:bidi w:val="0"/>
        <w:snapToGrid/>
        <w:spacing w:line="440" w:lineRule="exact"/>
        <w:ind w:firstLine="422" w:firstLineChars="200"/>
        <w:textAlignment w:val="auto"/>
        <w:rPr>
          <w:rFonts w:hint="eastAsia" w:ascii="宋体" w:hAnsi="宋体" w:cs="宋体"/>
          <w:b/>
          <w:color w:val="auto"/>
          <w:szCs w:val="21"/>
          <w:highlight w:val="none"/>
        </w:rPr>
      </w:pPr>
      <w:bookmarkStart w:id="47" w:name="_Toc28310"/>
      <w:r>
        <w:rPr>
          <w:rFonts w:hint="eastAsia" w:ascii="宋体" w:hAnsi="宋体" w:cs="宋体"/>
          <w:b/>
          <w:color w:val="auto"/>
          <w:szCs w:val="21"/>
          <w:highlight w:val="none"/>
        </w:rPr>
        <w:t>2．</w:t>
      </w:r>
      <w:r>
        <w:rPr>
          <w:rFonts w:hint="eastAsia" w:ascii="宋体" w:hAnsi="宋体" w:cs="宋体"/>
          <w:b/>
          <w:color w:val="auto"/>
          <w:szCs w:val="21"/>
          <w:highlight w:val="none"/>
          <w:lang w:eastAsia="zh-CN"/>
        </w:rPr>
        <w:t>工程范围</w:t>
      </w:r>
      <w:r>
        <w:rPr>
          <w:rFonts w:hint="eastAsia" w:ascii="宋体" w:hAnsi="宋体" w:cs="宋体"/>
          <w:b/>
          <w:color w:val="auto"/>
          <w:szCs w:val="21"/>
          <w:highlight w:val="none"/>
        </w:rPr>
        <w:t>、承包方式</w:t>
      </w:r>
    </w:p>
    <w:p>
      <w:pPr>
        <w:pageBreakBefore w:val="0"/>
        <w:widowControl/>
        <w:kinsoku/>
        <w:overflowPunct/>
        <w:topLinePunct w:val="0"/>
        <w:bidi w:val="0"/>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2.1本招标工程项目的</w:t>
      </w:r>
      <w:r>
        <w:rPr>
          <w:rFonts w:hint="eastAsia" w:ascii="宋体" w:hAnsi="宋体" w:cs="宋体"/>
          <w:color w:val="auto"/>
          <w:szCs w:val="21"/>
          <w:highlight w:val="none"/>
          <w:lang w:eastAsia="zh-CN"/>
        </w:rPr>
        <w:t>工程范围</w:t>
      </w:r>
      <w:r>
        <w:rPr>
          <w:rFonts w:hint="eastAsia" w:ascii="宋体" w:hAnsi="宋体" w:cs="宋体"/>
          <w:color w:val="auto"/>
          <w:szCs w:val="21"/>
          <w:highlight w:val="none"/>
        </w:rPr>
        <w:t>及工程内容见本须知前附表；</w:t>
      </w:r>
    </w:p>
    <w:p>
      <w:pPr>
        <w:pageBreakBefore w:val="0"/>
        <w:widowControl/>
        <w:kinsoku/>
        <w:overflowPunct/>
        <w:topLinePunct w:val="0"/>
        <w:bidi w:val="0"/>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2.2本招标工程项目的承包方式见本须知前附表。</w:t>
      </w:r>
    </w:p>
    <w:p>
      <w:pPr>
        <w:pageBreakBefore w:val="0"/>
        <w:kinsoku/>
        <w:overflowPunct/>
        <w:topLinePunct w:val="0"/>
        <w:bidi w:val="0"/>
        <w:snapToGrid/>
        <w:spacing w:line="44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3．资金来源</w:t>
      </w:r>
    </w:p>
    <w:p>
      <w:pPr>
        <w:pStyle w:val="16"/>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本招标工程项目资金来源见本须知前附表。</w:t>
      </w:r>
    </w:p>
    <w:p>
      <w:pPr>
        <w:pageBreakBefore w:val="0"/>
        <w:kinsoku/>
        <w:overflowPunct/>
        <w:topLinePunct w:val="0"/>
        <w:bidi w:val="0"/>
        <w:snapToGrid/>
        <w:spacing w:line="440" w:lineRule="exact"/>
        <w:ind w:firstLine="422" w:firstLineChars="200"/>
        <w:textAlignment w:val="auto"/>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4．合格的</w:t>
      </w:r>
      <w:r>
        <w:rPr>
          <w:rFonts w:hint="eastAsia" w:ascii="宋体" w:hAnsi="宋体" w:cs="宋体"/>
          <w:b/>
          <w:color w:val="auto"/>
          <w:szCs w:val="21"/>
          <w:highlight w:val="none"/>
          <w:lang w:eastAsia="zh-CN"/>
        </w:rPr>
        <w:t>谈判响应人</w:t>
      </w:r>
    </w:p>
    <w:p>
      <w:pPr>
        <w:pageBreakBefore w:val="0"/>
        <w:widowControl/>
        <w:kinsoku/>
        <w:overflowPunct/>
        <w:topLinePunct w:val="0"/>
        <w:bidi w:val="0"/>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4.1</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资质等级及</w:t>
      </w:r>
      <w:r>
        <w:rPr>
          <w:rFonts w:hint="eastAsia" w:ascii="宋体" w:hAnsi="宋体" w:cs="宋体"/>
          <w:color w:val="auto"/>
          <w:szCs w:val="21"/>
          <w:highlight w:val="none"/>
          <w:lang w:eastAsia="zh-CN"/>
        </w:rPr>
        <w:t>拟派</w:t>
      </w:r>
      <w:r>
        <w:rPr>
          <w:rFonts w:hint="eastAsia" w:ascii="宋体" w:hAnsi="宋体" w:cs="宋体"/>
          <w:color w:val="auto"/>
          <w:szCs w:val="21"/>
          <w:highlight w:val="none"/>
        </w:rPr>
        <w:t>项目经理资格</w:t>
      </w:r>
      <w:r>
        <w:rPr>
          <w:rFonts w:hint="eastAsia" w:ascii="宋体" w:hAnsi="宋体" w:cs="宋体"/>
          <w:color w:val="auto"/>
          <w:szCs w:val="21"/>
          <w:highlight w:val="none"/>
          <w:lang w:eastAsia="zh-CN"/>
        </w:rPr>
        <w:t>详</w:t>
      </w:r>
      <w:r>
        <w:rPr>
          <w:rFonts w:hint="eastAsia" w:ascii="宋体" w:hAnsi="宋体" w:cs="宋体"/>
          <w:color w:val="auto"/>
          <w:szCs w:val="21"/>
          <w:highlight w:val="none"/>
        </w:rPr>
        <w:t>见</w:t>
      </w:r>
      <w:r>
        <w:rPr>
          <w:rFonts w:hint="eastAsia" w:ascii="宋体" w:hAnsi="宋体" w:cs="宋体"/>
          <w:color w:val="auto"/>
          <w:szCs w:val="21"/>
          <w:highlight w:val="none"/>
          <w:lang w:val="en-US" w:eastAsia="zh-CN"/>
        </w:rPr>
        <w:t>本须知</w:t>
      </w:r>
      <w:r>
        <w:rPr>
          <w:rFonts w:hint="eastAsia" w:ascii="宋体" w:hAnsi="宋体" w:cs="宋体"/>
          <w:color w:val="auto"/>
          <w:szCs w:val="21"/>
          <w:highlight w:val="none"/>
        </w:rPr>
        <w:t>前附表。</w:t>
      </w:r>
    </w:p>
    <w:p>
      <w:pPr>
        <w:pageBreakBefore w:val="0"/>
        <w:widowControl/>
        <w:kinsoku/>
        <w:overflowPunct/>
        <w:topLinePunct w:val="0"/>
        <w:bidi w:val="0"/>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4.2</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合格条件详</w:t>
      </w:r>
      <w:r>
        <w:rPr>
          <w:rFonts w:hint="eastAsia" w:ascii="宋体" w:hAnsi="宋体" w:cs="宋体"/>
          <w:color w:val="auto"/>
          <w:szCs w:val="21"/>
          <w:highlight w:val="none"/>
          <w:lang w:eastAsia="zh-CN"/>
        </w:rPr>
        <w:t>见</w:t>
      </w: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须知前附表。</w:t>
      </w:r>
    </w:p>
    <w:p>
      <w:pPr>
        <w:pageBreakBefore w:val="0"/>
        <w:widowControl/>
        <w:kinsoku/>
        <w:overflowPunct/>
        <w:topLinePunct w:val="0"/>
        <w:bidi w:val="0"/>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4.3谈判响应人的</w:t>
      </w:r>
      <w:r>
        <w:rPr>
          <w:rFonts w:hint="eastAsia" w:ascii="宋体" w:hAnsi="宋体" w:cs="宋体"/>
          <w:color w:val="auto"/>
          <w:szCs w:val="21"/>
          <w:highlight w:val="none"/>
        </w:rPr>
        <w:t>单位负责人为同一人或者存在控股、管理关系的不同单位，不得参加同一标段投标或者未划分标段的同一招标项目投标。</w:t>
      </w:r>
    </w:p>
    <w:p>
      <w:pPr>
        <w:pageBreakBefore w:val="0"/>
        <w:widowControl/>
        <w:kinsoku/>
        <w:overflowPunct/>
        <w:topLinePunct w:val="0"/>
        <w:bidi w:val="0"/>
        <w:snapToGrid/>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本招标工程项目采用本须知前附表所述的资格审查方式。</w:t>
      </w:r>
    </w:p>
    <w:p>
      <w:pPr>
        <w:pStyle w:val="10"/>
        <w:rPr>
          <w:rFonts w:hint="eastAsia" w:ascii="宋体" w:hAnsi="宋体" w:eastAsia="宋体" w:cs="宋体"/>
          <w:color w:val="auto"/>
          <w:kern w:val="2"/>
          <w:sz w:val="21"/>
          <w:szCs w:val="21"/>
          <w:highlight w:val="none"/>
          <w:lang w:val="en-US" w:eastAsia="zh-CN" w:bidi="ar-SA"/>
        </w:rPr>
      </w:pPr>
      <w:r>
        <w:rPr>
          <w:rFonts w:hint="eastAsia"/>
          <w:lang w:val="en-US" w:eastAsia="zh-CN"/>
        </w:rPr>
        <w:t xml:space="preserve">   </w:t>
      </w:r>
      <w:r>
        <w:rPr>
          <w:rFonts w:hint="eastAsia" w:ascii="宋体" w:hAnsi="宋体" w:eastAsia="宋体" w:cs="宋体"/>
          <w:color w:val="auto"/>
          <w:kern w:val="2"/>
          <w:sz w:val="21"/>
          <w:szCs w:val="21"/>
          <w:highlight w:val="none"/>
          <w:lang w:val="en-US" w:eastAsia="zh-CN" w:bidi="ar-SA"/>
        </w:rPr>
        <w:t>4.5.1谈判响应人（包括联合体各成员）不得与本标段相关单位存在下列关联关系：</w:t>
      </w:r>
    </w:p>
    <w:p>
      <w:pPr>
        <w:pStyle w:val="10"/>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（1）为采购人不具有独立法人资格的附属机构（单位）；</w:t>
      </w:r>
    </w:p>
    <w:p>
      <w:pPr>
        <w:pStyle w:val="10"/>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（2）与采购人存在利害关系且可能影响招标公正性；</w:t>
      </w:r>
    </w:p>
    <w:p>
      <w:pPr>
        <w:pStyle w:val="10"/>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（3）与本标段的其他谈判响应人同为一个单位负责人；</w:t>
      </w:r>
    </w:p>
    <w:p>
      <w:pPr>
        <w:pStyle w:val="10"/>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（4）与本标段的其他谈判响应人存在控股、管理关系；</w:t>
      </w:r>
    </w:p>
    <w:p>
      <w:pPr>
        <w:pStyle w:val="10"/>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（5）为本标段前期准备提供设计或咨询服务的法人或其任何附属机构（单位）；</w:t>
      </w:r>
    </w:p>
    <w:p>
      <w:pPr>
        <w:pStyle w:val="10"/>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（6）为本标段的监理人；</w:t>
      </w:r>
    </w:p>
    <w:p>
      <w:pPr>
        <w:pStyle w:val="10"/>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（7）为本标段的代建人；</w:t>
      </w:r>
    </w:p>
    <w:p>
      <w:pPr>
        <w:pStyle w:val="10"/>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（8）为本标段的采购代理机构；</w:t>
      </w:r>
    </w:p>
    <w:p>
      <w:pPr>
        <w:pStyle w:val="10"/>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（9）与本标段的监理人或代建人或采购代理机构同为一个法定代表人；</w:t>
      </w:r>
    </w:p>
    <w:p>
      <w:pPr>
        <w:pStyle w:val="10"/>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（10）与本标段的监理人或代建人或采购代理机构存在控股或参股关系；</w:t>
      </w:r>
    </w:p>
    <w:p>
      <w:pPr>
        <w:pStyle w:val="10"/>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（11）法律法规或谈判响应人须知前附表规定的其他情形。</w:t>
      </w:r>
    </w:p>
    <w:p>
      <w:pPr>
        <w:pStyle w:val="10"/>
        <w:ind w:firstLine="210" w:firstLineChars="100"/>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4.5.2</w:t>
      </w:r>
      <w:r>
        <w:rPr>
          <w:rFonts w:hint="eastAsia" w:ascii="宋体" w:hAnsi="宋体" w:eastAsia="宋体" w:cs="宋体"/>
          <w:color w:val="auto"/>
          <w:kern w:val="2"/>
          <w:sz w:val="21"/>
          <w:szCs w:val="21"/>
          <w:highlight w:val="none"/>
          <w:lang w:val="en-US" w:eastAsia="zh-CN" w:bidi="ar-SA"/>
        </w:rPr>
        <w:t xml:space="preserve"> 谈判响应人（包括联合体各成员）不得存在下列不良状况或不良信用记录：</w:t>
      </w:r>
    </w:p>
    <w:p>
      <w:pPr>
        <w:pStyle w:val="10"/>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（1）被县级及以上建设行政主管部门/房屋建筑和市政基础设施工程招标投标活动的监督部门暂停或取消本次招标项目工程所在地或公共资源交易平台所在地的投标资格，且处于有效期内；</w:t>
      </w:r>
    </w:p>
    <w:p>
      <w:pPr>
        <w:pStyle w:val="10"/>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（2）在最近三年内（自投标截止之日向前追溯3年，下同）有重大工程质量事故或重大生产安全事故的（以相关行业主管部门的行政处罚决定或司法机关出具的有关法律文书为准）；</w:t>
      </w:r>
    </w:p>
    <w:p>
      <w:pPr>
        <w:pStyle w:val="1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在最近三年内（自投标截止之日向前追溯3年，下同）有骗取中标或严重违约的（以相关行业主管部门的行政处罚决定或司法机关出具的有关法律文书为准）；</w:t>
      </w:r>
    </w:p>
    <w:p>
      <w:pPr>
        <w:pStyle w:val="10"/>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（3）被责令停业，暂扣或吊销执照、安全生产许可证，或吊销资质证书；</w:t>
      </w:r>
    </w:p>
    <w:p>
      <w:pPr>
        <w:pStyle w:val="10"/>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（4）进入清算程序，或被宣告破产，或其他丧失履约能力的情形；</w:t>
      </w:r>
    </w:p>
    <w:p>
      <w:pPr>
        <w:pStyle w:val="10"/>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（5）在国家企业信用信息公示系统（http://www.gsxt.gov.cn/）中被列入严重违法失信企业名单；</w:t>
      </w:r>
    </w:p>
    <w:p>
      <w:pPr>
        <w:pStyle w:val="10"/>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（6）在“信用中国”网站（http://www.creditchina.gov.cn/）中被列入失信被执行人名单；</w:t>
      </w:r>
    </w:p>
    <w:p>
      <w:pPr>
        <w:pStyle w:val="10"/>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（7）在“信用中国”网站（http://www.creditchina.gov.cn/）中被列入重大税收违法案件当事人名单；</w:t>
      </w:r>
    </w:p>
    <w:p>
      <w:pPr>
        <w:pStyle w:val="10"/>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（8）在近三年内谈判响应人或其法定代表人、拟委任的项目经理有行贿犯罪行为的；</w:t>
      </w:r>
    </w:p>
    <w:p>
      <w:pPr>
        <w:pStyle w:val="10"/>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（9）被人力资源社会保障行政部门列入拖欠农民工工资“黑名单”；</w:t>
      </w:r>
    </w:p>
    <w:p>
      <w:pPr>
        <w:pStyle w:val="10"/>
        <w:ind w:firstLine="210" w:firstLineChars="1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（10）法律法规或谈判响应人须知前附表规定的其他情形。</w:t>
      </w:r>
    </w:p>
    <w:p>
      <w:pPr>
        <w:pageBreakBefore w:val="0"/>
        <w:widowControl/>
        <w:kinsoku/>
        <w:overflowPunct/>
        <w:topLinePunct w:val="0"/>
        <w:bidi w:val="0"/>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根据本工程的特点，</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必须认真阅读</w:t>
      </w:r>
      <w:r>
        <w:rPr>
          <w:rFonts w:hint="eastAsia" w:ascii="宋体" w:hAnsi="宋体" w:cs="宋体"/>
          <w:color w:val="auto"/>
          <w:szCs w:val="21"/>
          <w:highlight w:val="none"/>
          <w:lang w:eastAsia="zh-CN"/>
        </w:rPr>
        <w:t>竞争性谈判文件</w:t>
      </w:r>
      <w:r>
        <w:rPr>
          <w:rFonts w:hint="eastAsia" w:ascii="宋体" w:hAnsi="宋体" w:cs="宋体"/>
          <w:color w:val="auto"/>
          <w:szCs w:val="21"/>
          <w:highlight w:val="none"/>
        </w:rPr>
        <w:t>内容，按照</w:t>
      </w:r>
      <w:r>
        <w:rPr>
          <w:rFonts w:hint="eastAsia" w:ascii="宋体" w:hAnsi="宋体" w:cs="宋体"/>
          <w:color w:val="auto"/>
          <w:szCs w:val="21"/>
          <w:highlight w:val="none"/>
          <w:lang w:eastAsia="zh-CN"/>
        </w:rPr>
        <w:t>竞争性谈判文件</w:t>
      </w:r>
      <w:r>
        <w:rPr>
          <w:rFonts w:hint="eastAsia" w:ascii="宋体" w:hAnsi="宋体" w:cs="宋体"/>
          <w:color w:val="auto"/>
          <w:szCs w:val="21"/>
          <w:highlight w:val="none"/>
        </w:rPr>
        <w:t>要求编写</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，其内容必须详实，如果</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认为有必要，可结合所编制的</w:t>
      </w:r>
      <w:r>
        <w:rPr>
          <w:rFonts w:hint="eastAsia" w:ascii="宋体" w:hAnsi="宋体" w:cs="宋体"/>
          <w:color w:val="auto"/>
          <w:szCs w:val="21"/>
          <w:highlight w:val="none"/>
          <w:lang w:eastAsia="zh-CN"/>
        </w:rPr>
        <w:t>谈判报价相关表格</w:t>
      </w:r>
      <w:r>
        <w:rPr>
          <w:rFonts w:hint="eastAsia" w:ascii="宋体" w:hAnsi="宋体" w:cs="宋体"/>
          <w:color w:val="auto"/>
          <w:szCs w:val="21"/>
          <w:highlight w:val="none"/>
        </w:rPr>
        <w:t>提供相应技术说明。</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5．踏勘现场：</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谈判响应人应按照竞争性谈判文件所述，自行对工程现场及周围环境进行踏勘以获得有关编制谈判响应文件和签署合同所涉及现场的资料。踏勘现场所发生的自身费用由谈判响应人自己承担。经采购人允许，谈判响应人可为踏勘目的进入采购人的项目现场，但谈判响应人不得因此使采购人承担有关的责任和蒙受损失。谈判响应人应承担踏勘现场的责任和风险。</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6．采购人向谈判响应人提供的所有数据和资料，是采购人现有的能被谈判响应人利用的资料，采购人对谈判响应人做出的任何推论、理解和结论均不负责任。</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7．投标费用</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谈判响应人应承担其编制谈判响应文件与提交谈判响应文件等投标活动中所涉及的一切费用，不论谈判结果如何，采购人将不予承担。</w:t>
      </w:r>
    </w:p>
    <w:p>
      <w:pPr>
        <w:pStyle w:val="4"/>
        <w:pageBreakBefore w:val="0"/>
        <w:kinsoku/>
        <w:wordWrap/>
        <w:overflowPunct/>
        <w:topLinePunct w:val="0"/>
        <w:bidi w:val="0"/>
        <w:spacing w:before="0" w:beforeLines="0" w:beforeAutospacing="0" w:after="0" w:afterLines="0" w:afterAutospacing="0" w:line="240" w:lineRule="auto"/>
        <w:rPr>
          <w:rFonts w:hint="eastAsia" w:ascii="宋体" w:hAnsi="宋体" w:eastAsia="宋体" w:cs="宋体"/>
          <w:color w:val="auto"/>
          <w:sz w:val="32"/>
          <w:szCs w:val="32"/>
          <w:highlight w:val="none"/>
          <w:lang w:eastAsia="zh-CN"/>
        </w:rPr>
      </w:pPr>
      <w:bookmarkStart w:id="48" w:name="_Toc17094"/>
      <w:bookmarkStart w:id="49" w:name="_Toc208106831"/>
      <w:bookmarkStart w:id="50" w:name="_Toc16431"/>
      <w:bookmarkStart w:id="51" w:name="_Toc23524"/>
      <w:r>
        <w:rPr>
          <w:rFonts w:hint="eastAsia" w:ascii="宋体" w:hAnsi="宋体" w:eastAsia="宋体" w:cs="宋体"/>
          <w:color w:val="auto"/>
          <w:sz w:val="32"/>
          <w:szCs w:val="32"/>
          <w:highlight w:val="none"/>
        </w:rPr>
        <w:t>（三）</w:t>
      </w:r>
      <w:bookmarkEnd w:id="48"/>
      <w:bookmarkEnd w:id="49"/>
      <w:bookmarkEnd w:id="50"/>
      <w:r>
        <w:rPr>
          <w:rFonts w:hint="eastAsia" w:ascii="宋体" w:hAnsi="宋体" w:cs="宋体"/>
          <w:color w:val="auto"/>
          <w:sz w:val="32"/>
          <w:szCs w:val="32"/>
          <w:highlight w:val="none"/>
          <w:lang w:eastAsia="zh-CN"/>
        </w:rPr>
        <w:t>竞争性谈判文件</w:t>
      </w:r>
      <w:bookmarkEnd w:id="51"/>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w:t>
      </w:r>
      <w:r>
        <w:rPr>
          <w:rFonts w:hint="eastAsia" w:ascii="宋体" w:hAnsi="宋体" w:cs="宋体"/>
          <w:b/>
          <w:color w:val="auto"/>
          <w:szCs w:val="21"/>
          <w:highlight w:val="none"/>
          <w:lang w:eastAsia="zh-CN"/>
        </w:rPr>
        <w:t>竞争性谈判文件</w:t>
      </w:r>
      <w:r>
        <w:rPr>
          <w:rFonts w:hint="eastAsia" w:ascii="宋体" w:hAnsi="宋体" w:cs="宋体"/>
          <w:b/>
          <w:color w:val="auto"/>
          <w:szCs w:val="21"/>
          <w:highlight w:val="none"/>
        </w:rPr>
        <w:t>的组成</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8.1竞争性谈判文件包括下列内容：</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8.1.1本竞争性谈判文件的全部内容；</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8.1.2本工程所有发生的答疑文件（如有）和通知（如有）。</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8.2谈判响应人获取竞争性谈判文件后，应仔细检查竞争性谈判文件的所有内容，如有残缺等问题应在获得竞争性谈判文件3日内通过安庆市公共资源交易平台提出，否则，由此引起的损失由谈判响应人自己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规定，该谈判有可能被拒绝。</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w:t>
      </w:r>
      <w:r>
        <w:rPr>
          <w:rFonts w:hint="eastAsia" w:ascii="宋体" w:hAnsi="宋体" w:cs="宋体"/>
          <w:b/>
          <w:color w:val="auto"/>
          <w:szCs w:val="21"/>
          <w:highlight w:val="none"/>
          <w:lang w:eastAsia="zh-CN"/>
        </w:rPr>
        <w:t>竞争性谈判文件</w:t>
      </w:r>
      <w:r>
        <w:rPr>
          <w:rFonts w:hint="eastAsia" w:ascii="宋体" w:hAnsi="宋体" w:cs="宋体"/>
          <w:b/>
          <w:color w:val="auto"/>
          <w:szCs w:val="21"/>
          <w:highlight w:val="none"/>
        </w:rPr>
        <w:t>的澄清</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谈判响应人若对竞争性谈判文件有任何疑问，应按竞争性谈判文件约定的时间和方式向采购人提出澄清要求。无论是采购人根据需要主动对竞争性谈判文件进行必要的澄清，或是根据谈判响应人的要求对竞争性谈判文件做出的澄清，采购人通过安庆市公共资源交易服务网发布。该澄清作为竞争性谈判文件的组成部分，具有约束作用。</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w:t>
      </w:r>
      <w:r>
        <w:rPr>
          <w:rFonts w:hint="eastAsia" w:ascii="宋体" w:hAnsi="宋体" w:cs="宋体"/>
          <w:b/>
          <w:color w:val="auto"/>
          <w:szCs w:val="21"/>
          <w:highlight w:val="none"/>
          <w:lang w:eastAsia="zh-CN"/>
        </w:rPr>
        <w:t>竞争性谈判文件</w:t>
      </w:r>
      <w:r>
        <w:rPr>
          <w:rFonts w:hint="eastAsia" w:ascii="宋体" w:hAnsi="宋体" w:cs="宋体"/>
          <w:b/>
          <w:color w:val="auto"/>
          <w:szCs w:val="21"/>
          <w:highlight w:val="none"/>
        </w:rPr>
        <w:t>的修改</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10.1竞争性谈判文件发出后，采购人可对竞争性谈判文件进行必要的修改。</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10.2竞争性谈判文件的修改通过安庆市公共资源交易服务网发布，该修改内容作为竞争性谈判文件的组成部分，具有约束作用。</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10.3当竞争性谈判文件、竞争性谈判文件的澄清、修改、补充等在同一内容的表述上不一致时，以最后发布的为准。</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10.4为使谈判响应人在编制谈判响应文件时有充分的时间对竞争性谈判文件澄清、修改、补充等内容进行研究，采购人将酌情延长提交谈判响应文件的截止时间，具体时间通过安庆市公共资源交易服务网发布。</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10.5如果谈判响应人在谈判响应人须知前附表规定的时间前未对竞争性谈判文件等提出问题，视为充分理解竞争性谈判文件等所有内容，一旦提交谈判响应文件，则认为该谈判响应人接受竞争性谈判文件所有条款。</w:t>
      </w:r>
    </w:p>
    <w:p>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cs="宋体"/>
          <w:color w:val="auto"/>
          <w:szCs w:val="21"/>
          <w:highlight w:val="none"/>
          <w:lang w:val="en-US" w:eastAsia="zh-CN"/>
        </w:rPr>
        <w:t>10.6谈判响应人对工程量清单中工程量提出问题的，必须附计算书，并随时准备接受采购人组织的核对。不能提供计算书或不能按要求参加核对的，采购人对此问题不予受理，以后也不再调整工程量清单。</w:t>
      </w:r>
    </w:p>
    <w:p>
      <w:pPr>
        <w:pStyle w:val="4"/>
        <w:pageBreakBefore w:val="0"/>
        <w:kinsoku/>
        <w:wordWrap/>
        <w:overflowPunct/>
        <w:topLinePunct w:val="0"/>
        <w:bidi w:val="0"/>
        <w:spacing w:before="0" w:beforeLines="0" w:beforeAutospacing="0" w:after="0" w:afterLines="0" w:afterAutospacing="0" w:line="240" w:lineRule="auto"/>
        <w:rPr>
          <w:rFonts w:hint="eastAsia" w:ascii="宋体" w:hAnsi="宋体" w:eastAsia="宋体" w:cs="宋体"/>
          <w:b/>
          <w:color w:val="auto"/>
          <w:sz w:val="32"/>
          <w:szCs w:val="32"/>
          <w:highlight w:val="none"/>
        </w:rPr>
      </w:pPr>
      <w:bookmarkStart w:id="52" w:name="_Toc208106832"/>
      <w:bookmarkStart w:id="53" w:name="_Toc18173"/>
      <w:bookmarkStart w:id="54" w:name="_Toc724"/>
      <w:bookmarkStart w:id="55" w:name="_Toc28325"/>
      <w:r>
        <w:rPr>
          <w:rFonts w:hint="eastAsia" w:ascii="宋体" w:hAnsi="宋体" w:eastAsia="宋体" w:cs="宋体"/>
          <w:b/>
          <w:color w:val="auto"/>
          <w:sz w:val="32"/>
          <w:szCs w:val="32"/>
          <w:highlight w:val="none"/>
          <w:lang w:eastAsia="zh-CN"/>
        </w:rPr>
        <w:t>（四）</w:t>
      </w:r>
      <w:r>
        <w:rPr>
          <w:rFonts w:hint="eastAsia" w:ascii="宋体" w:hAnsi="宋体" w:cs="宋体"/>
          <w:b/>
          <w:color w:val="auto"/>
          <w:sz w:val="32"/>
          <w:szCs w:val="32"/>
          <w:highlight w:val="none"/>
          <w:lang w:eastAsia="zh-CN"/>
        </w:rPr>
        <w:t>谈判响应文件</w:t>
      </w:r>
      <w:r>
        <w:rPr>
          <w:rFonts w:hint="eastAsia" w:ascii="宋体" w:hAnsi="宋体" w:eastAsia="宋体" w:cs="宋体"/>
          <w:b/>
          <w:color w:val="auto"/>
          <w:sz w:val="32"/>
          <w:szCs w:val="32"/>
          <w:highlight w:val="none"/>
        </w:rPr>
        <w:t>的编制</w:t>
      </w:r>
      <w:bookmarkEnd w:id="52"/>
      <w:bookmarkEnd w:id="53"/>
      <w:bookmarkEnd w:id="54"/>
      <w:bookmarkEnd w:id="55"/>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11．</w:t>
      </w:r>
      <w:r>
        <w:rPr>
          <w:rFonts w:hint="eastAsia" w:ascii="宋体" w:hAnsi="宋体" w:cs="宋体"/>
          <w:b/>
          <w:color w:val="auto"/>
          <w:szCs w:val="21"/>
          <w:highlight w:val="none"/>
          <w:lang w:eastAsia="zh-CN"/>
        </w:rPr>
        <w:t>谈判响应文件</w:t>
      </w:r>
      <w:r>
        <w:rPr>
          <w:rFonts w:hint="eastAsia" w:ascii="宋体" w:hAnsi="宋体" w:cs="宋体"/>
          <w:b/>
          <w:color w:val="auto"/>
          <w:szCs w:val="21"/>
          <w:highlight w:val="none"/>
        </w:rPr>
        <w:t>的语言及度量衡单位</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11.1谈判响应文件和与谈判有关的所有文件均应使用中文(语言文字)。谈判响应人随谈判响应文件提供的证明文件和印刷品可以是其它语言文字，但必须附</w:t>
      </w:r>
      <w:r>
        <w:rPr>
          <w:rFonts w:hint="eastAsia" w:ascii="宋体" w:hAnsi="宋体" w:cs="宋体"/>
          <w:color w:val="auto"/>
          <w:szCs w:val="21"/>
          <w:highlight w:val="none"/>
          <w:lang w:val="zh-CN" w:eastAsia="zh-CN"/>
        </w:rPr>
        <w:t>有经准确翻译的</w:t>
      </w:r>
      <w:r>
        <w:rPr>
          <w:rFonts w:hint="eastAsia" w:ascii="宋体" w:hAnsi="宋体" w:cs="宋体"/>
          <w:color w:val="auto"/>
          <w:szCs w:val="21"/>
          <w:highlight w:val="none"/>
          <w:lang w:val="en-US" w:eastAsia="zh-CN"/>
        </w:rPr>
        <w:t>中文译文。</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11.2除工程规范另有规定外，谈判响应文件使用的度量衡单位，均采用中华人民共和国法定计量单位。</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w:t>
      </w:r>
      <w:r>
        <w:rPr>
          <w:rFonts w:hint="eastAsia" w:ascii="宋体" w:hAnsi="宋体" w:cs="宋体"/>
          <w:b/>
          <w:color w:val="auto"/>
          <w:szCs w:val="21"/>
          <w:highlight w:val="none"/>
          <w:lang w:eastAsia="zh-CN"/>
        </w:rPr>
        <w:t>谈判响应文件</w:t>
      </w:r>
      <w:r>
        <w:rPr>
          <w:rFonts w:hint="eastAsia" w:ascii="宋体" w:hAnsi="宋体" w:cs="宋体"/>
          <w:b/>
          <w:color w:val="auto"/>
          <w:szCs w:val="21"/>
          <w:highlight w:val="none"/>
        </w:rPr>
        <w:t>的组成</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12.1谈判响应文件由商务标谈判响应文件、技术标谈判响应文件两部分组成。</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12.2商务标谈判响应文件主要包括下列内容：</w:t>
      </w:r>
    </w:p>
    <w:p>
      <w:pPr>
        <w:widowControl/>
        <w:numPr>
          <w:ilvl w:val="0"/>
          <w:numId w:val="5"/>
        </w:num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谈判响应函；</w:t>
      </w:r>
    </w:p>
    <w:p>
      <w:pPr>
        <w:widowControl/>
        <w:numPr>
          <w:ilvl w:val="0"/>
          <w:numId w:val="5"/>
        </w:num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最终报价表；</w:t>
      </w:r>
    </w:p>
    <w:p>
      <w:pPr>
        <w:widowControl/>
        <w:numPr>
          <w:ilvl w:val="0"/>
          <w:numId w:val="5"/>
        </w:num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谈判报价相关表格应包括以下内容：</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A.3 首轮谈判总价封面；</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B.3 首轮谈判总价扉页；</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附录C工程计价总说明</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D.1 建设项目谈判报价汇总表；</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D.2 单项工程谈判报价汇总表；</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D.3单位工程谈判报价汇总表；</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E.1 分部分项工程量清单计价表；</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E.2 分部分项工程量清单综合单价分析表；</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附录F 措施项目清单计价表；</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附录G 不可竞争项目清单与计价表；</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H.1 其他项目清单与计价汇总表；</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H.2 暂列金额明细表；</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H.3 专业工程暂估价计价表；</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H.4 计日工表；</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H.5 总承包服务费计价表；</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附录Ⅰ 税金计价表；</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J.1 材料（工程设备）暂估单价一览表；</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J.2 发包人提供材料（工程设备）一览表；</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J.3 承包人提供材料（工程设备）一览表。</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谈判报价需要说明的其他资料</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12.3技术标谈判响应文件主要包括下列内容：</w:t>
      </w:r>
    </w:p>
    <w:p>
      <w:pPr>
        <w:widowControl/>
        <w:spacing w:line="360" w:lineRule="auto"/>
        <w:ind w:firstLine="420" w:firstLineChars="200"/>
        <w:jc w:val="left"/>
        <w:rPr>
          <w:rFonts w:hint="eastAsia" w:ascii="宋体" w:hAnsi="宋体" w:cs="宋体"/>
          <w:strike w:val="0"/>
          <w:dstrike w:val="0"/>
          <w:color w:val="auto"/>
          <w:szCs w:val="21"/>
          <w:highlight w:val="none"/>
          <w:lang w:val="en-US" w:eastAsia="zh-CN"/>
        </w:rPr>
      </w:pPr>
      <w:r>
        <w:rPr>
          <w:rFonts w:hint="eastAsia" w:ascii="宋体" w:hAnsi="宋体" w:cs="宋体"/>
          <w:color w:val="auto"/>
          <w:szCs w:val="21"/>
          <w:highlight w:val="none"/>
          <w:lang w:val="en-US" w:eastAsia="zh-CN"/>
        </w:rPr>
        <w:t>① 资格审查材料：法定</w:t>
      </w:r>
      <w:r>
        <w:rPr>
          <w:rFonts w:hint="eastAsia" w:ascii="宋体" w:hAnsi="宋体" w:cs="宋体"/>
          <w:strike w:val="0"/>
          <w:dstrike w:val="0"/>
          <w:color w:val="auto"/>
          <w:szCs w:val="21"/>
          <w:highlight w:val="none"/>
          <w:lang w:val="en-US" w:eastAsia="zh-CN"/>
        </w:rPr>
        <w:t xml:space="preserve">代表人身份证明书及法定代表人授权委托书、诚信投标承诺书、中小微企业等声明函、企业法人营业执照、企业资质证书、安全生产许可证、拟派项目经理的建造师注册证及安全生产考核合格证；拟派技术负责人相关证书（如有要求）；企业（拟派项目经理、技术负责人）类似工程业绩等资格审查的其他材料（如有要求）。 </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② 项目管理机构配备情况；</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③ 拟派项目经理简历；</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 拟分包情况表；</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⑤ 谈判响应人认为需要提供的其他资料；</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⑥ 施工组织设计部分：</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第一章   工程概况</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第二章   主要施工方法</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第三章   拟投入的主要物资计划</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第四章   拟投入的主要施工机械、设备计划</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第五章   劳动力安排计划及劳动力计划表</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第六章   确保工程质量的技术组织措施</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第七章   确保安全生产的技术组织措施</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第八章   确保工期的技术组织措施</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第九章   确保文明施工的技术组织措施</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第十章   工程施工的重点和难点</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第十一章   施工总平面布置图</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第十二章   谈判响应人认为有必要说明的其他内容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13．</w:t>
      </w:r>
      <w:r>
        <w:rPr>
          <w:rFonts w:hint="eastAsia" w:ascii="宋体" w:hAnsi="宋体" w:cs="宋体"/>
          <w:b/>
          <w:color w:val="auto"/>
          <w:szCs w:val="21"/>
          <w:highlight w:val="none"/>
          <w:lang w:eastAsia="zh-CN"/>
        </w:rPr>
        <w:t>谈判响应文件</w:t>
      </w:r>
      <w:r>
        <w:rPr>
          <w:rFonts w:hint="eastAsia" w:ascii="宋体" w:hAnsi="宋体" w:cs="宋体"/>
          <w:b/>
          <w:color w:val="auto"/>
          <w:szCs w:val="21"/>
          <w:highlight w:val="none"/>
        </w:rPr>
        <w:t>格式</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须分别编制技术标、商务标。</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包括本须知第12条中规定的内容，</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提交的</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应当使用</w:t>
      </w:r>
      <w:r>
        <w:rPr>
          <w:rFonts w:hint="eastAsia" w:ascii="宋体" w:hAnsi="宋体" w:cs="宋体"/>
          <w:color w:val="auto"/>
          <w:szCs w:val="21"/>
          <w:highlight w:val="none"/>
          <w:lang w:eastAsia="zh-CN"/>
        </w:rPr>
        <w:t>竞争性谈判文件</w:t>
      </w:r>
      <w:r>
        <w:rPr>
          <w:rFonts w:hint="eastAsia" w:ascii="宋体" w:hAnsi="宋体" w:cs="宋体"/>
          <w:color w:val="auto"/>
          <w:szCs w:val="21"/>
          <w:highlight w:val="none"/>
        </w:rPr>
        <w:t>所提供的</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全部格式编制</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，但表格可以按同样格式扩展。</w:t>
      </w:r>
    </w:p>
    <w:p>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14．</w:t>
      </w:r>
      <w:r>
        <w:rPr>
          <w:rFonts w:hint="eastAsia" w:ascii="宋体" w:hAnsi="宋体" w:cs="宋体"/>
          <w:b/>
          <w:color w:val="auto"/>
          <w:szCs w:val="21"/>
          <w:highlight w:val="none"/>
          <w:lang w:eastAsia="zh-CN"/>
        </w:rPr>
        <w:t>谈判报价</w:t>
      </w:r>
    </w:p>
    <w:p>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14.1</w:t>
      </w:r>
      <w:r>
        <w:rPr>
          <w:rFonts w:hint="eastAsia" w:ascii="宋体" w:hAnsi="宋体" w:cs="宋体"/>
          <w:color w:val="auto"/>
          <w:highlight w:val="none"/>
          <w:lang w:eastAsia="zh-CN"/>
        </w:rPr>
        <w:t>谈判响应人</w:t>
      </w:r>
      <w:r>
        <w:rPr>
          <w:rFonts w:hint="eastAsia" w:ascii="宋体" w:hAnsi="宋体" w:eastAsia="宋体" w:cs="宋体"/>
          <w:color w:val="auto"/>
          <w:highlight w:val="none"/>
        </w:rPr>
        <w:t>应根据当前建设市场行情，结合工程实际情况及</w:t>
      </w:r>
      <w:r>
        <w:rPr>
          <w:rFonts w:hint="eastAsia" w:ascii="宋体" w:hAnsi="宋体" w:eastAsia="宋体" w:cs="宋体"/>
          <w:color w:val="auto"/>
          <w:highlight w:val="none"/>
          <w:lang w:eastAsia="zh-CN"/>
        </w:rPr>
        <w:t>体现</w:t>
      </w:r>
      <w:r>
        <w:rPr>
          <w:rFonts w:hint="eastAsia" w:ascii="宋体" w:hAnsi="宋体" w:eastAsia="宋体" w:cs="宋体"/>
          <w:color w:val="auto"/>
          <w:highlight w:val="none"/>
        </w:rPr>
        <w:t>本单位的施工方法、材料来源渠道、施工机械装备、施工管理水平等</w:t>
      </w:r>
      <w:r>
        <w:rPr>
          <w:rFonts w:hint="eastAsia" w:ascii="宋体" w:hAnsi="宋体" w:eastAsia="宋体" w:cs="宋体"/>
          <w:color w:val="auto"/>
          <w:highlight w:val="none"/>
          <w:lang w:eastAsia="zh-CN"/>
        </w:rPr>
        <w:t>的企业定额</w:t>
      </w:r>
      <w:r>
        <w:rPr>
          <w:rFonts w:hint="eastAsia" w:ascii="宋体" w:hAnsi="宋体" w:eastAsia="宋体" w:cs="宋体"/>
          <w:color w:val="auto"/>
          <w:highlight w:val="none"/>
        </w:rPr>
        <w:t>，对</w:t>
      </w:r>
      <w:r>
        <w:rPr>
          <w:rFonts w:hint="eastAsia" w:ascii="宋体" w:hAnsi="宋体" w:cs="宋体"/>
          <w:color w:val="auto"/>
          <w:highlight w:val="none"/>
          <w:lang w:eastAsia="zh-CN"/>
        </w:rPr>
        <w:t>谈判</w:t>
      </w:r>
      <w:r>
        <w:rPr>
          <w:rFonts w:hint="eastAsia" w:ascii="宋体" w:hAnsi="宋体" w:eastAsia="宋体" w:cs="宋体"/>
          <w:color w:val="auto"/>
          <w:highlight w:val="none"/>
        </w:rPr>
        <w:t>费用进行分析、测算，实事求是地确定</w:t>
      </w:r>
      <w:r>
        <w:rPr>
          <w:rFonts w:hint="eastAsia" w:ascii="宋体" w:hAnsi="宋体" w:cs="宋体"/>
          <w:color w:val="auto"/>
          <w:highlight w:val="none"/>
          <w:lang w:eastAsia="zh-CN"/>
        </w:rPr>
        <w:t>谈判报价</w:t>
      </w:r>
      <w:r>
        <w:rPr>
          <w:rFonts w:hint="eastAsia" w:ascii="宋体" w:hAnsi="宋体" w:eastAsia="宋体" w:cs="宋体"/>
          <w:color w:val="auto"/>
          <w:highlight w:val="none"/>
        </w:rPr>
        <w:t>（不得低于成本价）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任何</w:t>
      </w:r>
      <w:r>
        <w:rPr>
          <w:rFonts w:hint="eastAsia" w:ascii="宋体" w:hAnsi="宋体" w:cs="宋体"/>
          <w:color w:val="auto"/>
          <w:highlight w:val="none"/>
          <w:lang w:eastAsia="zh-CN"/>
        </w:rPr>
        <w:t>谈判</w:t>
      </w:r>
      <w:r>
        <w:rPr>
          <w:rFonts w:hint="eastAsia" w:ascii="宋体" w:hAnsi="宋体" w:eastAsia="宋体" w:cs="宋体"/>
          <w:color w:val="auto"/>
          <w:highlight w:val="none"/>
        </w:rPr>
        <w:t>优惠都体现在报价内。</w:t>
      </w:r>
    </w:p>
    <w:p>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14.2</w:t>
      </w:r>
      <w:r>
        <w:rPr>
          <w:rFonts w:hint="eastAsia" w:ascii="宋体" w:hAnsi="宋体" w:cs="宋体"/>
          <w:color w:val="auto"/>
          <w:highlight w:val="none"/>
          <w:lang w:eastAsia="zh-CN"/>
        </w:rPr>
        <w:t>谈判响应人</w:t>
      </w:r>
      <w:r>
        <w:rPr>
          <w:rFonts w:hint="eastAsia" w:ascii="宋体" w:hAnsi="宋体" w:eastAsia="宋体" w:cs="宋体"/>
          <w:color w:val="auto"/>
          <w:highlight w:val="none"/>
        </w:rPr>
        <w:t>应仔细阅读</w:t>
      </w:r>
      <w:r>
        <w:rPr>
          <w:rFonts w:hint="eastAsia" w:ascii="宋体" w:hAnsi="宋体" w:cs="宋体"/>
          <w:color w:val="auto"/>
          <w:highlight w:val="none"/>
          <w:lang w:eastAsia="zh-CN"/>
        </w:rPr>
        <w:t>竞争性谈判文件</w:t>
      </w:r>
      <w:r>
        <w:rPr>
          <w:rFonts w:hint="eastAsia" w:ascii="宋体" w:hAnsi="宋体" w:eastAsia="宋体" w:cs="宋体"/>
          <w:color w:val="auto"/>
          <w:highlight w:val="none"/>
        </w:rPr>
        <w:t>，了解拟投标合同段的全部工程内容。</w:t>
      </w:r>
      <w:r>
        <w:rPr>
          <w:rFonts w:hint="eastAsia" w:ascii="宋体" w:hAnsi="宋体" w:cs="宋体"/>
          <w:color w:val="auto"/>
          <w:highlight w:val="none"/>
          <w:lang w:eastAsia="zh-CN"/>
        </w:rPr>
        <w:t>谈判响应人</w:t>
      </w:r>
      <w:r>
        <w:rPr>
          <w:rFonts w:hint="eastAsia" w:ascii="宋体" w:hAnsi="宋体" w:eastAsia="宋体" w:cs="宋体"/>
          <w:color w:val="auto"/>
          <w:highlight w:val="none"/>
        </w:rPr>
        <w:t>的</w:t>
      </w:r>
      <w:r>
        <w:rPr>
          <w:rFonts w:hint="eastAsia" w:ascii="宋体" w:hAnsi="宋体" w:cs="宋体"/>
          <w:color w:val="auto"/>
          <w:highlight w:val="none"/>
          <w:lang w:eastAsia="zh-CN"/>
        </w:rPr>
        <w:t>谈判报价</w:t>
      </w:r>
      <w:r>
        <w:rPr>
          <w:rFonts w:hint="eastAsia" w:ascii="宋体" w:hAnsi="宋体" w:eastAsia="宋体" w:cs="宋体"/>
          <w:color w:val="auto"/>
          <w:highlight w:val="none"/>
        </w:rPr>
        <w:t>应是在满足</w:t>
      </w:r>
      <w:r>
        <w:rPr>
          <w:rFonts w:hint="eastAsia" w:ascii="宋体" w:hAnsi="宋体" w:cs="宋体"/>
          <w:color w:val="auto"/>
          <w:highlight w:val="none"/>
          <w:lang w:eastAsia="zh-CN"/>
        </w:rPr>
        <w:t>竞争性谈判文件</w:t>
      </w:r>
      <w:r>
        <w:rPr>
          <w:rFonts w:hint="eastAsia" w:hAnsi="宋体" w:eastAsia="宋体" w:cs="宋体"/>
          <w:color w:val="auto"/>
          <w:highlight w:val="none"/>
          <w:lang w:eastAsia="zh-CN"/>
        </w:rPr>
        <w:t>约定</w:t>
      </w:r>
      <w:r>
        <w:rPr>
          <w:rFonts w:hint="eastAsia" w:ascii="宋体" w:hAnsi="宋体" w:eastAsia="宋体" w:cs="宋体"/>
          <w:color w:val="auto"/>
          <w:highlight w:val="none"/>
        </w:rPr>
        <w:t>工期、质量等要求下，完成</w:t>
      </w:r>
      <w:r>
        <w:rPr>
          <w:rFonts w:hint="eastAsia" w:ascii="宋体" w:hAnsi="宋体" w:cs="宋体"/>
          <w:color w:val="auto"/>
          <w:highlight w:val="none"/>
          <w:lang w:eastAsia="zh-CN"/>
        </w:rPr>
        <w:t>工程范围</w:t>
      </w:r>
      <w:r>
        <w:rPr>
          <w:rFonts w:hint="eastAsia" w:ascii="宋体" w:hAnsi="宋体" w:eastAsia="宋体" w:cs="宋体"/>
          <w:color w:val="auto"/>
          <w:highlight w:val="none"/>
        </w:rPr>
        <w:t>内的全部工作内容的价格，其</w:t>
      </w:r>
      <w:r>
        <w:rPr>
          <w:rFonts w:hint="eastAsia" w:ascii="宋体" w:hAnsi="宋体" w:cs="宋体"/>
          <w:color w:val="auto"/>
          <w:highlight w:val="none"/>
          <w:lang w:eastAsia="zh-CN"/>
        </w:rPr>
        <w:t>谈判报价</w:t>
      </w:r>
      <w:r>
        <w:rPr>
          <w:rFonts w:hint="eastAsia" w:ascii="宋体" w:hAnsi="宋体" w:eastAsia="宋体" w:cs="宋体"/>
          <w:color w:val="auto"/>
          <w:highlight w:val="none"/>
        </w:rPr>
        <w:t>不得低于成本价。</w:t>
      </w:r>
    </w:p>
    <w:p>
      <w:pPr>
        <w:widowControl/>
        <w:spacing w:line="360" w:lineRule="auto"/>
        <w:ind w:firstLine="420" w:firstLineChars="200"/>
        <w:jc w:val="left"/>
        <w:rPr>
          <w:rFonts w:hint="eastAsia" w:ascii="宋体" w:hAnsi="宋体" w:eastAsia="宋体" w:cs="宋体"/>
          <w:b/>
          <w:bCs/>
          <w:color w:val="auto"/>
          <w:highlight w:val="none"/>
        </w:rPr>
      </w:pPr>
      <w:r>
        <w:rPr>
          <w:rFonts w:hint="eastAsia" w:ascii="宋体" w:hAnsi="宋体" w:eastAsia="宋体" w:cs="宋体"/>
          <w:color w:val="auto"/>
          <w:highlight w:val="none"/>
        </w:rPr>
        <w:t>14.3本工程的</w:t>
      </w:r>
      <w:r>
        <w:rPr>
          <w:rFonts w:hint="eastAsia" w:ascii="宋体" w:hAnsi="宋体" w:cs="宋体"/>
          <w:color w:val="auto"/>
          <w:highlight w:val="none"/>
          <w:lang w:eastAsia="zh-CN"/>
        </w:rPr>
        <w:t>谈判报价</w:t>
      </w:r>
      <w:r>
        <w:rPr>
          <w:rFonts w:hint="eastAsia" w:ascii="宋体" w:hAnsi="宋体" w:eastAsia="宋体" w:cs="宋体"/>
          <w:color w:val="auto"/>
          <w:highlight w:val="none"/>
        </w:rPr>
        <w:t>采用本须知前附表所规定的方式</w:t>
      </w:r>
      <w:r>
        <w:rPr>
          <w:rFonts w:hint="eastAsia" w:ascii="宋体" w:hAnsi="宋体" w:eastAsia="宋体" w:cs="宋体"/>
          <w:b/>
          <w:bCs/>
          <w:color w:val="auto"/>
          <w:highlight w:val="none"/>
        </w:rPr>
        <w:t>综合单价包含完成一个规定清单项目所需的人工费（含工伤保险费等）、材料和工程设备费、施工机具使用费和企业管理费、利润以及施工合同范围内的风险费用。</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14.4</w:t>
      </w:r>
      <w:r>
        <w:rPr>
          <w:rFonts w:hint="eastAsia" w:ascii="宋体" w:hAnsi="宋体" w:cs="宋体"/>
          <w:color w:val="auto"/>
          <w:szCs w:val="21"/>
          <w:highlight w:val="none"/>
          <w:lang w:eastAsia="zh-CN"/>
        </w:rPr>
        <w:t>谈判报价</w:t>
      </w:r>
      <w:r>
        <w:rPr>
          <w:rFonts w:hint="eastAsia" w:ascii="宋体" w:hAnsi="宋体" w:cs="宋体"/>
          <w:color w:val="auto"/>
          <w:szCs w:val="21"/>
          <w:highlight w:val="none"/>
        </w:rPr>
        <w:t>编制依据</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14.4.1</w:t>
      </w:r>
      <w:r>
        <w:rPr>
          <w:rFonts w:hint="eastAsia" w:ascii="宋体" w:hAnsi="宋体" w:cs="宋体"/>
          <w:color w:val="auto"/>
          <w:szCs w:val="21"/>
          <w:highlight w:val="none"/>
          <w:lang w:eastAsia="zh-CN"/>
        </w:rPr>
        <w:t>竞争性谈判文件</w:t>
      </w:r>
      <w:r>
        <w:rPr>
          <w:rFonts w:hint="eastAsia" w:ascii="宋体" w:hAnsi="宋体" w:cs="宋体"/>
          <w:color w:val="auto"/>
          <w:szCs w:val="21"/>
          <w:highlight w:val="none"/>
        </w:rPr>
        <w:t>；</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14.4.2</w:t>
      </w:r>
      <w:r>
        <w:rPr>
          <w:rFonts w:hint="eastAsia" w:ascii="宋体" w:hAnsi="宋体" w:cs="宋体"/>
          <w:color w:val="auto"/>
          <w:szCs w:val="21"/>
          <w:highlight w:val="none"/>
          <w:lang w:eastAsia="zh-CN"/>
        </w:rPr>
        <w:t>施工图设计文件</w:t>
      </w:r>
      <w:r>
        <w:rPr>
          <w:rFonts w:hint="eastAsia" w:ascii="宋体" w:hAnsi="宋体" w:cs="宋体"/>
          <w:color w:val="auto"/>
          <w:szCs w:val="21"/>
          <w:highlight w:val="none"/>
        </w:rPr>
        <w:t>；</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14.4.3工程量清单、</w:t>
      </w:r>
      <w:r>
        <w:rPr>
          <w:rFonts w:hint="eastAsia" w:ascii="宋体" w:hAnsi="宋体" w:cs="宋体"/>
          <w:color w:val="auto"/>
          <w:szCs w:val="21"/>
          <w:highlight w:val="none"/>
          <w:lang w:eastAsia="zh-CN"/>
        </w:rPr>
        <w:t>最高谈判限价</w:t>
      </w:r>
      <w:r>
        <w:rPr>
          <w:rFonts w:hint="eastAsia" w:ascii="宋体" w:hAnsi="宋体" w:cs="宋体"/>
          <w:color w:val="auto"/>
          <w:szCs w:val="21"/>
          <w:highlight w:val="none"/>
        </w:rPr>
        <w:t>；</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14.4.4澄清、修改、补充中提出有关工程技术、质量、工期、承包范围及设备清单（如有）</w:t>
      </w:r>
      <w:r>
        <w:rPr>
          <w:rFonts w:hint="eastAsia" w:ascii="宋体" w:hAnsi="宋体" w:cs="宋体"/>
          <w:color w:val="auto"/>
          <w:szCs w:val="21"/>
          <w:highlight w:val="none"/>
          <w:lang w:eastAsia="zh-CN"/>
        </w:rPr>
        <w:t>等内容</w:t>
      </w:r>
      <w:r>
        <w:rPr>
          <w:rFonts w:hint="eastAsia" w:ascii="宋体" w:hAnsi="宋体" w:cs="宋体"/>
          <w:color w:val="auto"/>
          <w:szCs w:val="21"/>
          <w:highlight w:val="none"/>
        </w:rPr>
        <w:t>；</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14.4.5施工组织设计及施工方案；</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14.4.6质量验收规范等国家、行业、地方有关技术标准、规范；</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14.4.7《安徽省建设工程工程量清单计价</w:t>
      </w:r>
      <w:r>
        <w:rPr>
          <w:rFonts w:hint="eastAsia" w:ascii="宋体" w:hAnsi="宋体" w:cs="宋体"/>
          <w:color w:val="auto"/>
          <w:szCs w:val="21"/>
          <w:highlight w:val="none"/>
          <w:lang w:eastAsia="zh-CN"/>
        </w:rPr>
        <w:t>办法</w:t>
      </w:r>
      <w:r>
        <w:rPr>
          <w:rFonts w:hint="eastAsia" w:ascii="宋体" w:hAnsi="宋体" w:cs="宋体"/>
          <w:color w:val="auto"/>
          <w:szCs w:val="21"/>
          <w:highlight w:val="none"/>
        </w:rPr>
        <w:t>》及其配套</w:t>
      </w:r>
      <w:r>
        <w:rPr>
          <w:rFonts w:hint="eastAsia" w:ascii="宋体" w:hAnsi="宋体" w:cs="宋体"/>
          <w:color w:val="auto"/>
          <w:szCs w:val="21"/>
          <w:highlight w:val="none"/>
          <w:lang w:val="en-US" w:eastAsia="zh-CN"/>
        </w:rPr>
        <w:t>2018版安徽省建设工程</w:t>
      </w:r>
      <w:r>
        <w:rPr>
          <w:rFonts w:hint="eastAsia" w:ascii="宋体" w:hAnsi="宋体" w:cs="宋体"/>
          <w:color w:val="auto"/>
          <w:szCs w:val="21"/>
          <w:highlight w:val="none"/>
        </w:rPr>
        <w:t>计价</w:t>
      </w:r>
      <w:r>
        <w:rPr>
          <w:rFonts w:hint="eastAsia" w:ascii="宋体" w:hAnsi="宋体" w:cs="宋体"/>
          <w:color w:val="auto"/>
          <w:szCs w:val="21"/>
          <w:highlight w:val="none"/>
          <w:lang w:eastAsia="zh-CN"/>
        </w:rPr>
        <w:t>定额</w:t>
      </w:r>
      <w:r>
        <w:rPr>
          <w:rFonts w:hint="eastAsia" w:ascii="宋体" w:hAnsi="宋体" w:cs="宋体"/>
          <w:color w:val="auto"/>
          <w:szCs w:val="21"/>
          <w:highlight w:val="none"/>
        </w:rPr>
        <w:t>；</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14.4.8</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2018年《安徽省建设工程计价定额（共用册）》、《安徽省建筑工程计价定额》、《安徽省装饰装修工程计价定额》、《安徽省安装工程计价定额》、《安徽省市政工程计价定额》、《安徽省房屋修缮工程计价定额》及相关配套费用定额；</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14.4.9</w:t>
      </w:r>
      <w:r>
        <w:rPr>
          <w:rFonts w:hint="eastAsia" w:ascii="宋体" w:hAnsi="宋体" w:cs="宋体"/>
          <w:color w:val="auto"/>
          <w:szCs w:val="21"/>
          <w:highlight w:val="none"/>
          <w:lang w:eastAsia="zh-CN"/>
        </w:rPr>
        <w:t>安徽省建设工程造价管理总站</w:t>
      </w:r>
      <w:r>
        <w:rPr>
          <w:rFonts w:hint="eastAsia" w:ascii="宋体" w:hAnsi="宋体" w:cs="宋体"/>
          <w:color w:val="auto"/>
          <w:szCs w:val="21"/>
          <w:highlight w:val="none"/>
          <w:lang w:val="en-US" w:eastAsia="zh-CN"/>
        </w:rPr>
        <w:t>《关于调整我省现行建设工程计价依据增值税税率的通知》（造价【2019】7号）。</w:t>
      </w:r>
    </w:p>
    <w:p>
      <w:pPr>
        <w:pStyle w:val="16"/>
        <w:keepNext w:val="0"/>
        <w:keepLines w:val="0"/>
        <w:pageBreakBefore w:val="0"/>
        <w:kinsoku/>
        <w:wordWrap/>
        <w:overflowPunct/>
        <w:topLinePunct w:val="0"/>
        <w:autoSpaceDE/>
        <w:autoSpaceDN/>
        <w:bidi w:val="0"/>
        <w:adjustRightInd/>
        <w:snapToGrid/>
        <w:spacing w:beforeAutospacing="0" w:afterAutospacing="0" w:line="336" w:lineRule="auto"/>
        <w:ind w:firstLine="420" w:firstLineChars="200"/>
        <w:textAlignment w:val="auto"/>
        <w:rPr>
          <w:rFonts w:hint="eastAsia" w:hAnsi="宋体" w:cs="宋体"/>
          <w:bCs/>
          <w:color w:val="auto"/>
          <w:szCs w:val="21"/>
          <w:highlight w:val="none"/>
          <w:lang w:val="en-US" w:eastAsia="zh-CN"/>
        </w:rPr>
      </w:pPr>
      <w:r>
        <w:rPr>
          <w:rFonts w:hint="eastAsia" w:ascii="宋体" w:hAnsi="宋体" w:cs="宋体"/>
          <w:color w:val="auto"/>
          <w:szCs w:val="21"/>
          <w:highlight w:val="none"/>
          <w:lang w:val="en-US" w:eastAsia="zh-CN"/>
        </w:rPr>
        <w:t>14.4.10</w:t>
      </w:r>
      <w:r>
        <w:rPr>
          <w:rFonts w:hint="eastAsia" w:hAnsi="宋体" w:eastAsia="宋体" w:cs="宋体"/>
          <w:bCs/>
          <w:color w:val="auto"/>
          <w:szCs w:val="21"/>
          <w:highlight w:val="none"/>
          <w:lang w:val="en-US" w:eastAsia="zh-CN"/>
        </w:rPr>
        <w:t>《关于调整安徽省建设工程不可竞争费构成及计费标准的通知》（建标【2021】42号）</w:t>
      </w:r>
      <w:r>
        <w:rPr>
          <w:rFonts w:hint="eastAsia" w:hAnsi="宋体" w:cs="宋体"/>
          <w:bCs/>
          <w:color w:val="auto"/>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14.4.</w:t>
      </w:r>
      <w:r>
        <w:rPr>
          <w:rFonts w:hint="eastAsia" w:ascii="宋体" w:hAnsi="宋体" w:cs="宋体"/>
          <w:color w:val="auto"/>
          <w:szCs w:val="21"/>
          <w:highlight w:val="none"/>
          <w:lang w:val="en-US" w:eastAsia="zh-CN"/>
        </w:rPr>
        <w:t>11安徽省住房和城乡建设厅《关于规范我省建设工程人工价格信息发布工作的通知》（建标〔2021〕46号）及安庆市相关文件；</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14.4.1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本工程涉及的人工、材料、机械台班的市场价格；</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14.4.1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施工期间的风险因素。</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可在安庆市建设工程造价信息网上下载上述文件</w:t>
      </w:r>
      <w:r>
        <w:rPr>
          <w:rFonts w:hint="eastAsia" w:ascii="宋体" w:hAnsi="宋体" w:cs="宋体"/>
          <w:color w:val="auto"/>
          <w:szCs w:val="21"/>
          <w:highlight w:val="none"/>
          <w:lang w:eastAsia="zh-CN"/>
        </w:rPr>
        <w:t>、信息价</w:t>
      </w:r>
      <w:r>
        <w:rPr>
          <w:rFonts w:hint="eastAsia" w:ascii="宋体" w:hAnsi="宋体" w:cs="宋体"/>
          <w:color w:val="auto"/>
          <w:szCs w:val="21"/>
          <w:highlight w:val="none"/>
        </w:rPr>
        <w:t>。</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14.5</w:t>
      </w:r>
      <w:r>
        <w:rPr>
          <w:rFonts w:hint="eastAsia" w:ascii="宋体" w:hAnsi="宋体" w:cs="宋体"/>
          <w:color w:val="auto"/>
          <w:szCs w:val="21"/>
          <w:highlight w:val="none"/>
          <w:lang w:eastAsia="zh-CN"/>
        </w:rPr>
        <w:t>谈判报价</w:t>
      </w:r>
      <w:r>
        <w:rPr>
          <w:rFonts w:hint="eastAsia" w:ascii="宋体" w:hAnsi="宋体" w:cs="宋体"/>
          <w:color w:val="auto"/>
          <w:szCs w:val="21"/>
          <w:highlight w:val="none"/>
        </w:rPr>
        <w:t>编制原则</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14.5.1</w:t>
      </w:r>
      <w:r>
        <w:rPr>
          <w:rFonts w:hint="eastAsia" w:ascii="宋体" w:hAnsi="宋体" w:cs="宋体"/>
          <w:color w:val="auto"/>
          <w:szCs w:val="21"/>
          <w:highlight w:val="none"/>
        </w:rPr>
        <w:t>人工费：</w:t>
      </w:r>
      <w:r>
        <w:rPr>
          <w:rFonts w:hint="eastAsia" w:ascii="宋体" w:hAnsi="宋体" w:cs="宋体"/>
          <w:color w:val="auto"/>
          <w:szCs w:val="21"/>
          <w:highlight w:val="none"/>
          <w:lang w:val="en-US" w:eastAsia="zh-CN"/>
        </w:rPr>
        <w:t>参考</w:t>
      </w:r>
      <w:r>
        <w:rPr>
          <w:rFonts w:hint="eastAsia" w:ascii="宋体" w:hAnsi="宋体" w:cs="宋体"/>
          <w:color w:val="auto"/>
          <w:szCs w:val="21"/>
          <w:highlight w:val="none"/>
          <w:lang w:eastAsia="zh-CN"/>
        </w:rPr>
        <w:t>最高投标限价中</w:t>
      </w:r>
      <w:r>
        <w:rPr>
          <w:rFonts w:hint="eastAsia" w:ascii="宋体" w:hAnsi="宋体" w:cs="宋体"/>
          <w:color w:val="auto"/>
          <w:szCs w:val="21"/>
          <w:highlight w:val="none"/>
        </w:rPr>
        <w:t>人工费单价标准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158.87元/工日</w:t>
      </w:r>
      <w:r>
        <w:rPr>
          <w:rFonts w:hint="eastAsia" w:ascii="宋体" w:hAnsi="宋体" w:cs="宋体"/>
          <w:color w:val="auto"/>
          <w:szCs w:val="21"/>
          <w:highlight w:val="none"/>
          <w:lang w:eastAsia="zh-CN"/>
        </w:rPr>
        <w:t>）</w:t>
      </w:r>
      <w:r>
        <w:rPr>
          <w:rFonts w:hint="eastAsia" w:ascii="宋体" w:hAnsi="宋体" w:cs="宋体"/>
          <w:color w:val="auto"/>
          <w:szCs w:val="21"/>
          <w:highlight w:val="none"/>
        </w:rPr>
        <w:t>计算。</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14.5.2</w:t>
      </w:r>
      <w:r>
        <w:rPr>
          <w:rFonts w:hint="eastAsia" w:ascii="宋体" w:hAnsi="宋体" w:cs="宋体"/>
          <w:color w:val="auto"/>
          <w:szCs w:val="21"/>
          <w:highlight w:val="none"/>
        </w:rPr>
        <w:t>材料费：</w:t>
      </w:r>
      <w:r>
        <w:rPr>
          <w:rFonts w:hint="eastAsia" w:ascii="宋体" w:hAnsi="宋体" w:cs="宋体"/>
          <w:color w:val="auto"/>
          <w:szCs w:val="21"/>
          <w:highlight w:val="none"/>
          <w:lang w:eastAsia="zh-CN"/>
        </w:rPr>
        <w:t>参考最高谈判限价中的当期</w:t>
      </w:r>
      <w:r>
        <w:rPr>
          <w:rFonts w:hint="eastAsia" w:ascii="宋体" w:hAnsi="宋体" w:cs="宋体"/>
          <w:color w:val="auto"/>
          <w:szCs w:val="21"/>
          <w:highlight w:val="none"/>
        </w:rPr>
        <w:t>市场信息价自主报价。</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14.5.3</w:t>
      </w:r>
      <w:r>
        <w:rPr>
          <w:rFonts w:hint="eastAsia" w:ascii="宋体" w:hAnsi="宋体" w:cs="宋体"/>
          <w:color w:val="auto"/>
          <w:szCs w:val="21"/>
          <w:highlight w:val="none"/>
        </w:rPr>
        <w:t>机械台班费：可参照《2</w:t>
      </w:r>
      <w:r>
        <w:rPr>
          <w:rFonts w:hint="eastAsia" w:ascii="宋体" w:hAnsi="宋体" w:cs="宋体"/>
          <w:color w:val="auto"/>
          <w:szCs w:val="21"/>
          <w:highlight w:val="none"/>
          <w:lang w:val="en-US" w:eastAsia="zh-CN"/>
        </w:rPr>
        <w:t>018</w:t>
      </w:r>
      <w:r>
        <w:rPr>
          <w:rFonts w:hint="eastAsia" w:ascii="宋体" w:hAnsi="宋体" w:cs="宋体"/>
          <w:color w:val="auto"/>
          <w:szCs w:val="21"/>
          <w:highlight w:val="none"/>
        </w:rPr>
        <w:t>年安徽省</w:t>
      </w:r>
      <w:r>
        <w:rPr>
          <w:rFonts w:hint="eastAsia" w:ascii="宋体" w:hAnsi="宋体" w:cs="宋体"/>
          <w:color w:val="auto"/>
          <w:szCs w:val="21"/>
          <w:highlight w:val="none"/>
          <w:lang w:eastAsia="zh-CN"/>
        </w:rPr>
        <w:t>建设工程施工</w:t>
      </w:r>
      <w:r>
        <w:rPr>
          <w:rFonts w:hint="eastAsia" w:ascii="宋体" w:hAnsi="宋体" w:cs="宋体"/>
          <w:color w:val="auto"/>
          <w:szCs w:val="21"/>
          <w:highlight w:val="none"/>
        </w:rPr>
        <w:t>机械台班费用</w:t>
      </w:r>
      <w:r>
        <w:rPr>
          <w:rFonts w:hint="eastAsia" w:ascii="宋体" w:hAnsi="宋体" w:cs="宋体"/>
          <w:color w:val="auto"/>
          <w:szCs w:val="21"/>
          <w:highlight w:val="none"/>
          <w:lang w:eastAsia="zh-CN"/>
        </w:rPr>
        <w:t>编制规则</w:t>
      </w:r>
      <w:r>
        <w:rPr>
          <w:rFonts w:hint="eastAsia" w:ascii="宋体" w:hAnsi="宋体" w:cs="宋体"/>
          <w:color w:val="auto"/>
          <w:szCs w:val="21"/>
          <w:highlight w:val="none"/>
        </w:rPr>
        <w:t>》执行。</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14.5.4</w:t>
      </w:r>
      <w:r>
        <w:rPr>
          <w:rFonts w:hint="eastAsia" w:ascii="宋体" w:hAnsi="宋体" w:cs="宋体"/>
          <w:color w:val="auto"/>
          <w:szCs w:val="21"/>
          <w:highlight w:val="none"/>
        </w:rPr>
        <w:t>不可竞争费用：包含“安全防护与文明施工措施费”、“税金”</w:t>
      </w:r>
      <w:r>
        <w:rPr>
          <w:rFonts w:hint="eastAsia" w:ascii="宋体" w:hAnsi="宋体" w:cs="宋体"/>
          <w:color w:val="auto"/>
          <w:szCs w:val="21"/>
          <w:highlight w:val="none"/>
          <w:lang w:eastAsia="zh-CN"/>
        </w:rPr>
        <w:t>两</w:t>
      </w:r>
      <w:r>
        <w:rPr>
          <w:rFonts w:hint="eastAsia" w:ascii="宋体" w:hAnsi="宋体" w:cs="宋体"/>
          <w:color w:val="auto"/>
          <w:szCs w:val="21"/>
          <w:highlight w:val="none"/>
        </w:rPr>
        <w:t>项。</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sym w:font="Wingdings" w:char="F081"/>
      </w:r>
      <w:r>
        <w:rPr>
          <w:rFonts w:hint="eastAsia" w:ascii="宋体" w:hAnsi="宋体" w:cs="宋体"/>
          <w:color w:val="auto"/>
          <w:szCs w:val="21"/>
          <w:highlight w:val="none"/>
        </w:rPr>
        <w:t>“安全防护与文明施工措施费”（指环境保护、文明施工、安全施工</w:t>
      </w:r>
      <w:r>
        <w:rPr>
          <w:rFonts w:hint="eastAsia" w:ascii="宋体" w:hAnsi="宋体" w:cs="宋体"/>
          <w:color w:val="auto"/>
          <w:szCs w:val="21"/>
          <w:highlight w:val="none"/>
          <w:lang w:eastAsia="zh-CN"/>
        </w:rPr>
        <w:t>、</w:t>
      </w:r>
      <w:r>
        <w:rPr>
          <w:rFonts w:hint="eastAsia" w:ascii="宋体" w:hAnsi="宋体" w:cs="宋体"/>
          <w:color w:val="auto"/>
          <w:szCs w:val="21"/>
          <w:highlight w:val="none"/>
        </w:rPr>
        <w:t>临时设施）费率必须与</w:t>
      </w:r>
      <w:r>
        <w:rPr>
          <w:rFonts w:hint="eastAsia" w:ascii="宋体" w:hAnsi="宋体" w:cs="宋体"/>
          <w:color w:val="auto"/>
          <w:szCs w:val="21"/>
          <w:highlight w:val="none"/>
          <w:lang w:eastAsia="zh-CN"/>
        </w:rPr>
        <w:t>最高谈判限价</w:t>
      </w:r>
      <w:r>
        <w:rPr>
          <w:rFonts w:hint="eastAsia" w:ascii="宋体" w:hAnsi="宋体" w:cs="宋体"/>
          <w:color w:val="auto"/>
          <w:szCs w:val="21"/>
          <w:highlight w:val="none"/>
        </w:rPr>
        <w:t>相应费率一致。</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sym w:font="Wingdings" w:char="F082"/>
      </w:r>
      <w:r>
        <w:rPr>
          <w:rFonts w:hint="eastAsia" w:ascii="宋体" w:hAnsi="宋体" w:cs="宋体"/>
          <w:color w:val="auto"/>
          <w:szCs w:val="21"/>
          <w:highlight w:val="none"/>
        </w:rPr>
        <w:t>“税金”</w:t>
      </w:r>
      <w:r>
        <w:rPr>
          <w:rFonts w:hint="eastAsia" w:ascii="宋体" w:hAnsi="宋体" w:cs="宋体"/>
          <w:color w:val="auto"/>
          <w:szCs w:val="21"/>
          <w:highlight w:val="none"/>
          <w:lang w:eastAsia="zh-CN"/>
        </w:rPr>
        <w:t>税</w:t>
      </w:r>
      <w:r>
        <w:rPr>
          <w:rFonts w:hint="eastAsia" w:ascii="宋体" w:hAnsi="宋体" w:cs="宋体"/>
          <w:color w:val="auto"/>
          <w:szCs w:val="21"/>
          <w:highlight w:val="none"/>
        </w:rPr>
        <w:t>率必须与</w:t>
      </w:r>
      <w:r>
        <w:rPr>
          <w:rFonts w:hint="eastAsia" w:ascii="宋体" w:hAnsi="宋体" w:cs="宋体"/>
          <w:color w:val="auto"/>
          <w:szCs w:val="21"/>
          <w:highlight w:val="none"/>
          <w:lang w:eastAsia="zh-CN"/>
        </w:rPr>
        <w:t>最高谈判限价</w:t>
      </w:r>
      <w:r>
        <w:rPr>
          <w:rFonts w:hint="eastAsia" w:ascii="宋体" w:hAnsi="宋体" w:cs="宋体"/>
          <w:color w:val="auto"/>
          <w:szCs w:val="21"/>
          <w:highlight w:val="none"/>
        </w:rPr>
        <w:t>相应税率一致。</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14.5.5</w:t>
      </w:r>
      <w:r>
        <w:rPr>
          <w:rFonts w:hint="eastAsia" w:ascii="宋体" w:hAnsi="宋体" w:cs="宋体"/>
          <w:color w:val="auto"/>
          <w:szCs w:val="21"/>
          <w:highlight w:val="none"/>
        </w:rPr>
        <w:t>管理费、利润等可竞争费：</w:t>
      </w:r>
      <w:r>
        <w:rPr>
          <w:rFonts w:hint="eastAsia" w:ascii="宋体" w:hAnsi="宋体" w:cs="宋体"/>
          <w:color w:val="auto"/>
          <w:szCs w:val="21"/>
          <w:highlight w:val="none"/>
          <w:lang w:eastAsia="zh-CN"/>
        </w:rPr>
        <w:t>费率参照《2</w:t>
      </w:r>
      <w:r>
        <w:rPr>
          <w:rFonts w:hint="eastAsia" w:ascii="宋体" w:hAnsi="宋体" w:cs="宋体"/>
          <w:color w:val="auto"/>
          <w:szCs w:val="21"/>
          <w:highlight w:val="none"/>
          <w:lang w:val="en-US" w:eastAsia="zh-CN"/>
        </w:rPr>
        <w:t>018</w:t>
      </w:r>
      <w:r>
        <w:rPr>
          <w:rFonts w:hint="eastAsia" w:ascii="宋体" w:hAnsi="宋体" w:cs="宋体"/>
          <w:color w:val="auto"/>
          <w:szCs w:val="21"/>
          <w:highlight w:val="none"/>
          <w:lang w:eastAsia="zh-CN"/>
        </w:rPr>
        <w:t>年安徽省建设工程费用定额》</w:t>
      </w:r>
      <w:r>
        <w:rPr>
          <w:rFonts w:hint="eastAsia" w:ascii="宋体" w:hAnsi="宋体" w:cs="宋体"/>
          <w:color w:val="auto"/>
          <w:szCs w:val="21"/>
          <w:highlight w:val="none"/>
        </w:rPr>
        <w:t>自主确定取值。</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14.5.6</w:t>
      </w:r>
      <w:r>
        <w:rPr>
          <w:rFonts w:hint="eastAsia" w:ascii="宋体" w:hAnsi="宋体" w:cs="宋体"/>
          <w:color w:val="auto"/>
          <w:szCs w:val="21"/>
          <w:highlight w:val="none"/>
          <w:lang w:eastAsia="zh-CN"/>
        </w:rPr>
        <w:t>暂列金额</w:t>
      </w:r>
      <w:r>
        <w:rPr>
          <w:rFonts w:hint="eastAsia" w:ascii="宋体" w:hAnsi="宋体" w:cs="宋体"/>
          <w:color w:val="auto"/>
          <w:szCs w:val="21"/>
          <w:highlight w:val="none"/>
        </w:rPr>
        <w:t>、材料购置费</w:t>
      </w:r>
      <w:r>
        <w:rPr>
          <w:rFonts w:hint="eastAsia" w:ascii="宋体" w:hAnsi="宋体" w:cs="宋体"/>
          <w:color w:val="auto"/>
          <w:szCs w:val="21"/>
          <w:highlight w:val="none"/>
          <w:lang w:eastAsia="zh-CN"/>
        </w:rPr>
        <w:t>、</w:t>
      </w:r>
      <w:r>
        <w:rPr>
          <w:rFonts w:hint="eastAsia" w:ascii="宋体" w:hAnsi="宋体" w:cs="宋体"/>
          <w:color w:val="auto"/>
          <w:szCs w:val="21"/>
          <w:highlight w:val="none"/>
        </w:rPr>
        <w:t>暂</w:t>
      </w:r>
      <w:r>
        <w:rPr>
          <w:rFonts w:hint="eastAsia" w:ascii="宋体" w:hAnsi="宋体" w:cs="宋体"/>
          <w:color w:val="auto"/>
          <w:szCs w:val="21"/>
          <w:highlight w:val="none"/>
          <w:lang w:eastAsia="zh-CN"/>
        </w:rPr>
        <w:t>估</w:t>
      </w:r>
      <w:r>
        <w:rPr>
          <w:rFonts w:hint="eastAsia" w:ascii="宋体" w:hAnsi="宋体" w:cs="宋体"/>
          <w:color w:val="auto"/>
          <w:szCs w:val="21"/>
          <w:highlight w:val="none"/>
        </w:rPr>
        <w:t>价（如有）应按</w:t>
      </w:r>
      <w:r>
        <w:rPr>
          <w:rFonts w:hint="eastAsia" w:ascii="宋体" w:hAnsi="宋体" w:cs="宋体"/>
          <w:color w:val="auto"/>
          <w:szCs w:val="21"/>
          <w:highlight w:val="none"/>
          <w:lang w:eastAsia="zh-CN"/>
        </w:rPr>
        <w:t>工程量清单及最高谈判限价</w:t>
      </w:r>
      <w:r>
        <w:rPr>
          <w:rFonts w:hint="eastAsia" w:ascii="宋体" w:hAnsi="宋体" w:cs="宋体"/>
          <w:color w:val="auto"/>
          <w:szCs w:val="21"/>
          <w:highlight w:val="none"/>
        </w:rPr>
        <w:t>中所列金额填写，</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不得修改。</w:t>
      </w:r>
      <w:r>
        <w:rPr>
          <w:rFonts w:hint="eastAsia" w:ascii="宋体" w:hAnsi="宋体" w:cs="宋体"/>
          <w:color w:val="auto"/>
          <w:szCs w:val="21"/>
          <w:highlight w:val="none"/>
          <w:lang w:eastAsia="zh-CN"/>
        </w:rPr>
        <w:t>最高谈判限价</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暂列金额</w:t>
      </w:r>
      <w:r>
        <w:rPr>
          <w:rFonts w:hint="eastAsia" w:ascii="宋体" w:hAnsi="宋体" w:cs="宋体"/>
          <w:color w:val="auto"/>
          <w:szCs w:val="21"/>
          <w:highlight w:val="none"/>
        </w:rPr>
        <w:t>、暂</w:t>
      </w:r>
      <w:r>
        <w:rPr>
          <w:rFonts w:hint="eastAsia" w:ascii="宋体" w:hAnsi="宋体" w:cs="宋体"/>
          <w:color w:val="auto"/>
          <w:szCs w:val="21"/>
          <w:highlight w:val="none"/>
          <w:lang w:eastAsia="zh-CN"/>
        </w:rPr>
        <w:t>估</w:t>
      </w:r>
      <w:r>
        <w:rPr>
          <w:rFonts w:hint="eastAsia" w:ascii="宋体" w:hAnsi="宋体" w:cs="宋体"/>
          <w:color w:val="auto"/>
          <w:szCs w:val="21"/>
          <w:highlight w:val="none"/>
        </w:rPr>
        <w:t>价（如有）均为估算金额</w:t>
      </w:r>
      <w:r>
        <w:rPr>
          <w:rFonts w:hint="eastAsia" w:ascii="宋体" w:hAnsi="宋体" w:cs="宋体"/>
          <w:color w:val="auto"/>
          <w:szCs w:val="21"/>
          <w:highlight w:val="none"/>
          <w:lang w:eastAsia="zh-CN"/>
        </w:rPr>
        <w:t>，</w:t>
      </w:r>
      <w:r>
        <w:rPr>
          <w:rFonts w:hint="eastAsia" w:ascii="宋体" w:hAnsi="宋体" w:cs="宋体"/>
          <w:color w:val="auto"/>
          <w:szCs w:val="21"/>
          <w:highlight w:val="none"/>
        </w:rPr>
        <w:t>工程竣工后应按承包人实际完成的工程内容结算。</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14.5.7</w:t>
      </w:r>
      <w:r>
        <w:rPr>
          <w:rFonts w:hint="eastAsia" w:ascii="宋体" w:hAnsi="宋体" w:cs="宋体"/>
          <w:color w:val="auto"/>
          <w:szCs w:val="21"/>
          <w:highlight w:val="none"/>
        </w:rPr>
        <w:t>总承包服务费（如有）应根据</w:t>
      </w:r>
      <w:r>
        <w:rPr>
          <w:rFonts w:hint="eastAsia" w:ascii="宋体" w:hAnsi="宋体" w:cs="宋体"/>
          <w:color w:val="auto"/>
          <w:szCs w:val="21"/>
          <w:highlight w:val="none"/>
          <w:lang w:eastAsia="zh-CN"/>
        </w:rPr>
        <w:t>竞争性谈判文件</w:t>
      </w:r>
      <w:r>
        <w:rPr>
          <w:rFonts w:hint="eastAsia" w:ascii="宋体" w:hAnsi="宋体" w:cs="宋体"/>
          <w:color w:val="auto"/>
          <w:szCs w:val="21"/>
          <w:highlight w:val="none"/>
        </w:rPr>
        <w:t>中列出的内容和提出的要求计算。</w:t>
      </w:r>
    </w:p>
    <w:p>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14.5.8</w:t>
      </w:r>
      <w:r>
        <w:rPr>
          <w:rFonts w:hint="eastAsia" w:ascii="宋体" w:hAnsi="宋体" w:cs="宋体"/>
          <w:color w:val="auto"/>
          <w:szCs w:val="21"/>
          <w:highlight w:val="none"/>
          <w:lang w:eastAsia="zh-CN"/>
        </w:rPr>
        <w:t>计日工费</w:t>
      </w:r>
      <w:r>
        <w:rPr>
          <w:rFonts w:hint="eastAsia" w:ascii="宋体" w:hAnsi="宋体" w:cs="宋体"/>
          <w:color w:val="auto"/>
          <w:szCs w:val="21"/>
          <w:highlight w:val="none"/>
        </w:rPr>
        <w:t>（如有）应按</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在</w:t>
      </w:r>
      <w:r>
        <w:rPr>
          <w:rFonts w:hint="eastAsia" w:ascii="宋体" w:hAnsi="宋体" w:cs="宋体"/>
          <w:color w:val="auto"/>
          <w:szCs w:val="21"/>
          <w:highlight w:val="none"/>
          <w:lang w:eastAsia="zh-CN"/>
        </w:rPr>
        <w:t>计日工表</w:t>
      </w:r>
      <w:r>
        <w:rPr>
          <w:rFonts w:hint="eastAsia" w:ascii="宋体" w:hAnsi="宋体" w:cs="宋体"/>
          <w:color w:val="auto"/>
          <w:szCs w:val="21"/>
          <w:highlight w:val="none"/>
        </w:rPr>
        <w:t>列出的项目和数量，确定各项综合单价计算，工程竣工后按实际完成的工程量结算。</w:t>
      </w:r>
    </w:p>
    <w:p>
      <w:pPr>
        <w:widowControl/>
        <w:spacing w:line="360" w:lineRule="auto"/>
        <w:ind w:firstLine="420" w:firstLineChars="200"/>
        <w:jc w:val="left"/>
        <w:rPr>
          <w:rFonts w:hint="eastAsia" w:ascii="宋体" w:hAnsi="宋体" w:eastAsia="宋体" w:cs="宋体"/>
          <w:b/>
          <w:bCs/>
          <w:color w:val="auto"/>
          <w:highlight w:val="none"/>
        </w:rPr>
      </w:pPr>
      <w:r>
        <w:rPr>
          <w:rFonts w:hint="eastAsia" w:ascii="宋体" w:hAnsi="宋体" w:eastAsia="宋体" w:cs="宋体"/>
          <w:color w:val="auto"/>
          <w:highlight w:val="none"/>
          <w:lang w:val="en-US" w:eastAsia="zh-CN"/>
        </w:rPr>
        <w:t>14.5.</w:t>
      </w:r>
      <w:r>
        <w:rPr>
          <w:rFonts w:hint="eastAsia" w:hAnsi="宋体" w:eastAsia="宋体" w:cs="宋体"/>
          <w:color w:val="auto"/>
          <w:highlight w:val="none"/>
          <w:lang w:val="en-US" w:eastAsia="zh-CN"/>
        </w:rPr>
        <w:t>9</w:t>
      </w:r>
      <w:r>
        <w:rPr>
          <w:rFonts w:hint="eastAsia" w:ascii="宋体" w:hAnsi="宋体" w:eastAsia="宋体" w:cs="宋体"/>
          <w:b/>
          <w:bCs/>
          <w:color w:val="auto"/>
          <w:kern w:val="2"/>
          <w:sz w:val="21"/>
          <w:szCs w:val="24"/>
          <w:highlight w:val="none"/>
          <w:lang w:val="en-US" w:eastAsia="zh-CN" w:bidi="ar-SA"/>
        </w:rPr>
        <w:t>4.9</w:t>
      </w:r>
      <w:r>
        <w:rPr>
          <w:rFonts w:hint="eastAsia" w:ascii="宋体" w:hAnsi="宋体" w:eastAsia="宋体" w:cs="宋体"/>
          <w:b/>
          <w:bCs/>
          <w:color w:val="auto"/>
          <w:highlight w:val="none"/>
        </w:rPr>
        <w:t>本工程取、弃土点由施工单位自行解决，承包人</w:t>
      </w:r>
      <w:r>
        <w:rPr>
          <w:rFonts w:hint="eastAsia" w:ascii="宋体" w:hAnsi="宋体" w:cs="宋体"/>
          <w:b/>
          <w:bCs/>
          <w:color w:val="auto"/>
          <w:highlight w:val="none"/>
          <w:lang w:eastAsia="zh-CN"/>
        </w:rPr>
        <w:t>投标总报价</w:t>
      </w:r>
      <w:r>
        <w:rPr>
          <w:rFonts w:hint="eastAsia" w:ascii="宋体" w:hAnsi="宋体" w:eastAsia="宋体" w:cs="宋体"/>
          <w:b/>
          <w:bCs/>
          <w:color w:val="auto"/>
          <w:highlight w:val="none"/>
        </w:rPr>
        <w:t>时应综合考虑经济运距及其他可能增加成本的因素，且渣土运输要符合安庆市人民政府关于建筑垃圾处置</w:t>
      </w:r>
      <w:r>
        <w:rPr>
          <w:rFonts w:hint="eastAsia" w:ascii="宋体" w:hAnsi="宋体" w:cs="宋体"/>
          <w:b/>
          <w:bCs/>
          <w:color w:val="auto"/>
          <w:highlight w:val="none"/>
          <w:lang w:val="en-US" w:eastAsia="zh-CN"/>
        </w:rPr>
        <w:t>的相关规定。</w:t>
      </w:r>
      <w:r>
        <w:rPr>
          <w:rFonts w:hint="eastAsia" w:ascii="宋体" w:hAnsi="宋体" w:eastAsia="宋体" w:cs="宋体"/>
          <w:b/>
          <w:bCs/>
          <w:color w:val="auto"/>
          <w:highlight w:val="none"/>
        </w:rPr>
        <w:t>承包人投标前必须充分了解安庆渣土运输行情，合理报价，中标后土方报价不做调整。</w:t>
      </w:r>
    </w:p>
    <w:p>
      <w:pPr>
        <w:widowControl/>
        <w:spacing w:line="360" w:lineRule="auto"/>
        <w:ind w:firstLine="422"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14.5.10根据安庆市相关规定，凡在市城市管理行政执法局规定的建筑垃圾消纳场处置建筑垃圾的，均应交纳建筑垃圾消纳处置费，收费标准为2.50元/吨。保障性住房和工业项目免收。</w:t>
      </w:r>
    </w:p>
    <w:p>
      <w:pPr>
        <w:widowControl/>
        <w:spacing w:line="360" w:lineRule="auto"/>
        <w:ind w:firstLine="422"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①如本项目属于保障性住房和工业项目，如实际发生时，该费用由采购人承担。</w:t>
      </w:r>
    </w:p>
    <w:p>
      <w:pPr>
        <w:widowControl/>
        <w:spacing w:line="360" w:lineRule="auto"/>
        <w:ind w:firstLine="422"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②如本项目不属于免收费的项目，则各谈判响应人谈判报价中也需综合考虑并计取，实际发生时，该费用由</w:t>
      </w:r>
      <w:r>
        <w:rPr>
          <w:rFonts w:hint="eastAsia" w:ascii="宋体" w:hAnsi="宋体" w:cs="宋体"/>
          <w:b/>
          <w:bCs/>
          <w:color w:val="auto"/>
          <w:highlight w:val="none"/>
          <w:lang w:val="en-US" w:eastAsia="zh-CN"/>
        </w:rPr>
        <w:t>成交</w:t>
      </w:r>
      <w:r>
        <w:rPr>
          <w:rFonts w:hint="eastAsia" w:ascii="宋体" w:hAnsi="宋体" w:eastAsia="宋体" w:cs="宋体"/>
          <w:b/>
          <w:bCs/>
          <w:color w:val="auto"/>
          <w:highlight w:val="none"/>
          <w:lang w:val="en-US" w:eastAsia="zh-CN"/>
        </w:rPr>
        <w:t>人承担。</w:t>
      </w:r>
    </w:p>
    <w:p>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14.5.</w:t>
      </w:r>
      <w:r>
        <w:rPr>
          <w:rFonts w:hint="eastAsia" w:ascii="宋体" w:hAnsi="宋体" w:eastAsia="宋体" w:cs="宋体"/>
          <w:color w:val="auto"/>
          <w:highlight w:val="none"/>
          <w:lang w:val="en-US" w:eastAsia="zh-CN"/>
        </w:rPr>
        <w:t>1</w:t>
      </w:r>
      <w:r>
        <w:rPr>
          <w:rFonts w:hint="eastAsia" w:hAnsi="宋体" w:eastAsia="宋体" w:cs="宋体"/>
          <w:color w:val="auto"/>
          <w:highlight w:val="none"/>
          <w:lang w:val="en-US" w:eastAsia="zh-CN"/>
        </w:rPr>
        <w:t>1材料信息价参照安庆市建筑管理处202</w:t>
      </w:r>
      <w:r>
        <w:rPr>
          <w:rFonts w:hint="eastAsia" w:hAnsi="宋体" w:cs="宋体"/>
          <w:color w:val="auto"/>
          <w:highlight w:val="none"/>
          <w:lang w:val="en-US" w:eastAsia="zh-CN"/>
        </w:rPr>
        <w:t>2</w:t>
      </w:r>
      <w:r>
        <w:rPr>
          <w:rFonts w:hint="eastAsia" w:hAnsi="宋体" w:eastAsia="宋体" w:cs="宋体"/>
          <w:color w:val="auto"/>
          <w:highlight w:val="none"/>
          <w:lang w:val="en-US" w:eastAsia="zh-CN"/>
        </w:rPr>
        <w:t>年</w:t>
      </w:r>
      <w:r>
        <w:rPr>
          <w:rFonts w:hint="eastAsia" w:hAnsi="宋体" w:cs="宋体"/>
          <w:color w:val="auto"/>
          <w:highlight w:val="none"/>
          <w:u w:val="none"/>
          <w:lang w:val="en-US" w:eastAsia="zh-CN"/>
        </w:rPr>
        <w:t>11</w:t>
      </w:r>
      <w:r>
        <w:rPr>
          <w:rFonts w:hint="eastAsia" w:hAnsi="宋体" w:eastAsia="宋体" w:cs="宋体"/>
          <w:color w:val="auto"/>
          <w:highlight w:val="none"/>
          <w:lang w:val="en-US" w:eastAsia="zh-CN"/>
        </w:rPr>
        <w:t>期《安庆工程造价信息简讯》执行。</w:t>
      </w:r>
    </w:p>
    <w:p>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14.6除非</w:t>
      </w:r>
      <w:r>
        <w:rPr>
          <w:rFonts w:hint="eastAsia" w:ascii="宋体" w:hAnsi="宋体" w:cs="宋体"/>
          <w:color w:val="auto"/>
          <w:highlight w:val="none"/>
          <w:lang w:eastAsia="zh-CN"/>
        </w:rPr>
        <w:t>采购人</w:t>
      </w:r>
      <w:r>
        <w:rPr>
          <w:rFonts w:hint="eastAsia" w:ascii="宋体" w:hAnsi="宋体" w:eastAsia="宋体" w:cs="宋体"/>
          <w:color w:val="auto"/>
          <w:highlight w:val="none"/>
        </w:rPr>
        <w:t>对</w:t>
      </w:r>
      <w:r>
        <w:rPr>
          <w:rFonts w:hint="eastAsia" w:ascii="宋体" w:hAnsi="宋体" w:cs="宋体"/>
          <w:color w:val="auto"/>
          <w:highlight w:val="none"/>
          <w:lang w:eastAsia="zh-CN"/>
        </w:rPr>
        <w:t>竞争性谈判文件</w:t>
      </w:r>
      <w:r>
        <w:rPr>
          <w:rFonts w:hint="eastAsia" w:ascii="宋体" w:hAnsi="宋体" w:eastAsia="宋体" w:cs="宋体"/>
          <w:color w:val="auto"/>
          <w:highlight w:val="none"/>
        </w:rPr>
        <w:t>予以修改、更正，否则</w:t>
      </w:r>
      <w:r>
        <w:rPr>
          <w:rFonts w:hint="eastAsia" w:ascii="宋体" w:hAnsi="宋体" w:cs="宋体"/>
          <w:color w:val="auto"/>
          <w:highlight w:val="none"/>
          <w:lang w:eastAsia="zh-CN"/>
        </w:rPr>
        <w:t>谈判响应人</w:t>
      </w:r>
      <w:r>
        <w:rPr>
          <w:rFonts w:hint="eastAsia" w:ascii="宋体" w:hAnsi="宋体" w:eastAsia="宋体" w:cs="宋体"/>
          <w:color w:val="auto"/>
          <w:highlight w:val="none"/>
        </w:rPr>
        <w:t>应按</w:t>
      </w:r>
      <w:r>
        <w:rPr>
          <w:rFonts w:hint="eastAsia" w:ascii="宋体" w:hAnsi="宋体" w:cs="宋体"/>
          <w:color w:val="auto"/>
          <w:highlight w:val="none"/>
          <w:lang w:eastAsia="zh-CN"/>
        </w:rPr>
        <w:t>采购人</w:t>
      </w:r>
      <w:r>
        <w:rPr>
          <w:rFonts w:hint="eastAsia" w:ascii="宋体" w:hAnsi="宋体" w:eastAsia="宋体" w:cs="宋体"/>
          <w:color w:val="auto"/>
          <w:highlight w:val="none"/>
        </w:rPr>
        <w:t>提供的工程量清单中列出的工程项目和工程量逐项填报综合单价和合价。</w:t>
      </w:r>
      <w:r>
        <w:rPr>
          <w:rFonts w:hint="eastAsia" w:ascii="宋体" w:hAnsi="宋体" w:cs="宋体"/>
          <w:b/>
          <w:bCs/>
          <w:color w:val="auto"/>
          <w:highlight w:val="none"/>
          <w:lang w:eastAsia="zh-CN"/>
        </w:rPr>
        <w:t>谈判响应人</w:t>
      </w:r>
      <w:r>
        <w:rPr>
          <w:rFonts w:hint="eastAsia" w:ascii="宋体" w:hAnsi="宋体" w:eastAsia="宋体" w:cs="宋体"/>
          <w:b/>
          <w:bCs/>
          <w:color w:val="auto"/>
          <w:highlight w:val="none"/>
        </w:rPr>
        <w:t>不得在</w:t>
      </w:r>
      <w:r>
        <w:rPr>
          <w:rFonts w:hint="eastAsia" w:ascii="宋体" w:hAnsi="宋体" w:eastAsia="宋体" w:cs="宋体"/>
          <w:b/>
          <w:bCs/>
          <w:color w:val="auto"/>
          <w:highlight w:val="none"/>
          <w:lang w:eastAsia="zh-CN"/>
        </w:rPr>
        <w:t>分部分项</w:t>
      </w:r>
      <w:r>
        <w:rPr>
          <w:rFonts w:hint="eastAsia" w:ascii="宋体" w:hAnsi="宋体" w:eastAsia="宋体" w:cs="宋体"/>
          <w:b/>
          <w:bCs/>
          <w:color w:val="auto"/>
          <w:highlight w:val="none"/>
        </w:rPr>
        <w:t>工程量清单中任意增删、修改清单项目与工程量及项目排列顺序。</w:t>
      </w:r>
    </w:p>
    <w:p>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14.7</w:t>
      </w:r>
      <w:r>
        <w:rPr>
          <w:rFonts w:hint="eastAsia" w:ascii="宋体" w:hAnsi="宋体" w:eastAsia="宋体" w:cs="宋体"/>
          <w:b/>
          <w:bCs/>
          <w:color w:val="auto"/>
          <w:highlight w:val="none"/>
        </w:rPr>
        <w:t>除非合同中另有规定，</w:t>
      </w:r>
      <w:r>
        <w:rPr>
          <w:rFonts w:hint="eastAsia" w:ascii="宋体" w:hAnsi="宋体" w:cs="宋体"/>
          <w:b/>
          <w:bCs/>
          <w:color w:val="auto"/>
          <w:highlight w:val="none"/>
          <w:lang w:eastAsia="zh-CN"/>
        </w:rPr>
        <w:t>谈判响应人</w:t>
      </w:r>
      <w:r>
        <w:rPr>
          <w:rFonts w:hint="eastAsia" w:ascii="宋体" w:hAnsi="宋体" w:eastAsia="宋体" w:cs="宋体"/>
          <w:b/>
          <w:bCs/>
          <w:color w:val="auto"/>
          <w:highlight w:val="none"/>
        </w:rPr>
        <w:t>在</w:t>
      </w:r>
      <w:r>
        <w:rPr>
          <w:rFonts w:hint="eastAsia" w:hAnsi="宋体" w:cs="宋体"/>
          <w:b/>
          <w:bCs/>
          <w:color w:val="auto"/>
          <w:highlight w:val="none"/>
          <w:lang w:eastAsia="zh-CN"/>
        </w:rPr>
        <w:t>谈判报价</w:t>
      </w:r>
      <w:r>
        <w:rPr>
          <w:rFonts w:hint="eastAsia" w:hAnsi="宋体" w:eastAsia="宋体" w:cs="宋体"/>
          <w:b/>
          <w:bCs/>
          <w:color w:val="auto"/>
          <w:highlight w:val="none"/>
          <w:lang w:eastAsia="zh-CN"/>
        </w:rPr>
        <w:t>相关表格</w:t>
      </w:r>
      <w:r>
        <w:rPr>
          <w:rFonts w:hint="eastAsia" w:ascii="宋体" w:hAnsi="宋体" w:eastAsia="宋体" w:cs="宋体"/>
          <w:b/>
          <w:bCs/>
          <w:color w:val="auto"/>
          <w:highlight w:val="none"/>
        </w:rPr>
        <w:t>中所报的综合单价和合价、以及</w:t>
      </w:r>
      <w:r>
        <w:rPr>
          <w:rFonts w:hint="eastAsia" w:hAnsi="宋体" w:eastAsia="宋体" w:cs="宋体"/>
          <w:b/>
          <w:bCs/>
          <w:color w:val="auto"/>
          <w:highlight w:val="none"/>
          <w:lang w:val="en-US" w:eastAsia="zh-CN"/>
        </w:rPr>
        <w:t>报价汇总表</w:t>
      </w:r>
      <w:r>
        <w:rPr>
          <w:rFonts w:hint="eastAsia" w:ascii="宋体" w:hAnsi="宋体" w:eastAsia="宋体" w:cs="宋体"/>
          <w:b/>
          <w:bCs/>
          <w:color w:val="auto"/>
          <w:highlight w:val="none"/>
        </w:rPr>
        <w:t>中的</w:t>
      </w:r>
      <w:r>
        <w:rPr>
          <w:rFonts w:hint="eastAsia" w:ascii="宋体" w:hAnsi="宋体" w:cs="宋体"/>
          <w:b/>
          <w:bCs/>
          <w:color w:val="auto"/>
          <w:highlight w:val="none"/>
          <w:lang w:eastAsia="zh-CN"/>
        </w:rPr>
        <w:t>谈判报价</w:t>
      </w:r>
      <w:r>
        <w:rPr>
          <w:rFonts w:hint="eastAsia" w:ascii="宋体" w:hAnsi="宋体" w:eastAsia="宋体" w:cs="宋体"/>
          <w:b/>
          <w:bCs/>
          <w:color w:val="auto"/>
          <w:highlight w:val="none"/>
        </w:rPr>
        <w:t>均包括完成</w:t>
      </w:r>
      <w:r>
        <w:rPr>
          <w:rFonts w:hint="eastAsia" w:ascii="宋体" w:hAnsi="宋体" w:cs="宋体"/>
          <w:b/>
          <w:bCs/>
          <w:color w:val="auto"/>
          <w:highlight w:val="none"/>
          <w:lang w:eastAsia="zh-CN"/>
        </w:rPr>
        <w:t>竞争性谈判文件</w:t>
      </w:r>
      <w:r>
        <w:rPr>
          <w:rFonts w:hint="eastAsia" w:hAnsi="宋体" w:eastAsia="宋体" w:cs="宋体"/>
          <w:b/>
          <w:bCs/>
          <w:color w:val="auto"/>
          <w:highlight w:val="none"/>
          <w:lang w:eastAsia="zh-CN"/>
        </w:rPr>
        <w:t>约定</w:t>
      </w:r>
      <w:r>
        <w:rPr>
          <w:rFonts w:hint="eastAsia" w:ascii="宋体" w:hAnsi="宋体" w:eastAsia="宋体" w:cs="宋体"/>
          <w:b/>
          <w:bCs/>
          <w:color w:val="auto"/>
          <w:highlight w:val="none"/>
        </w:rPr>
        <w:t>的全部工程内容及为达到质量和工期目标、安全文明、环境保护等要求的</w:t>
      </w:r>
      <w:r>
        <w:rPr>
          <w:rFonts w:hint="eastAsia" w:hAnsi="宋体" w:eastAsia="宋体" w:cs="宋体"/>
          <w:b/>
          <w:bCs/>
          <w:color w:val="auto"/>
          <w:highlight w:val="none"/>
          <w:lang w:eastAsia="zh-CN"/>
        </w:rPr>
        <w:t>分部分项工程费、措施项目费、不可竞争费、其他项目费、税金</w:t>
      </w:r>
      <w:r>
        <w:rPr>
          <w:rFonts w:hint="eastAsia" w:ascii="宋体" w:hAnsi="宋体" w:eastAsia="宋体" w:cs="宋体"/>
          <w:b/>
          <w:bCs/>
          <w:color w:val="auto"/>
          <w:highlight w:val="none"/>
        </w:rPr>
        <w:t>等所有费用。</w:t>
      </w:r>
      <w:r>
        <w:rPr>
          <w:rFonts w:hint="eastAsia" w:ascii="宋体" w:hAnsi="宋体" w:eastAsia="宋体" w:cs="宋体"/>
          <w:color w:val="auto"/>
          <w:highlight w:val="none"/>
        </w:rPr>
        <w:t>为满足工程建设标准和技术规范要求所发生的费用应包括在</w:t>
      </w:r>
      <w:r>
        <w:rPr>
          <w:rFonts w:hint="eastAsia" w:ascii="宋体" w:hAnsi="宋体" w:cs="宋体"/>
          <w:color w:val="auto"/>
          <w:highlight w:val="none"/>
          <w:lang w:eastAsia="zh-CN"/>
        </w:rPr>
        <w:t>谈判报价</w:t>
      </w:r>
      <w:r>
        <w:rPr>
          <w:rFonts w:hint="eastAsia" w:ascii="宋体" w:hAnsi="宋体" w:eastAsia="宋体" w:cs="宋体"/>
          <w:color w:val="auto"/>
          <w:highlight w:val="none"/>
        </w:rPr>
        <w:t>中。</w:t>
      </w:r>
      <w:r>
        <w:rPr>
          <w:rFonts w:hint="eastAsia" w:ascii="宋体" w:hAnsi="宋体" w:cs="宋体"/>
          <w:color w:val="auto"/>
          <w:highlight w:val="none"/>
          <w:lang w:eastAsia="zh-CN"/>
        </w:rPr>
        <w:t>谈判报价</w:t>
      </w:r>
      <w:r>
        <w:rPr>
          <w:rFonts w:hint="eastAsia" w:ascii="宋体" w:hAnsi="宋体" w:eastAsia="宋体" w:cs="宋体"/>
          <w:color w:val="auto"/>
          <w:highlight w:val="none"/>
        </w:rPr>
        <w:t>为</w:t>
      </w:r>
      <w:r>
        <w:rPr>
          <w:rFonts w:hint="eastAsia" w:ascii="宋体" w:hAnsi="宋体" w:cs="宋体"/>
          <w:color w:val="auto"/>
          <w:highlight w:val="none"/>
          <w:lang w:eastAsia="zh-CN"/>
        </w:rPr>
        <w:t>谈判响应人</w:t>
      </w:r>
      <w:r>
        <w:rPr>
          <w:rFonts w:hint="eastAsia" w:ascii="宋体" w:hAnsi="宋体" w:eastAsia="宋体" w:cs="宋体"/>
          <w:color w:val="auto"/>
          <w:highlight w:val="none"/>
        </w:rPr>
        <w:t>在</w:t>
      </w:r>
      <w:r>
        <w:rPr>
          <w:rFonts w:hint="eastAsia" w:ascii="宋体" w:hAnsi="宋体" w:cs="宋体"/>
          <w:color w:val="auto"/>
          <w:highlight w:val="none"/>
          <w:lang w:eastAsia="zh-CN"/>
        </w:rPr>
        <w:t>谈判响应文件</w:t>
      </w:r>
      <w:r>
        <w:rPr>
          <w:rFonts w:hint="eastAsia" w:ascii="宋体" w:hAnsi="宋体" w:eastAsia="宋体" w:cs="宋体"/>
          <w:color w:val="auto"/>
          <w:highlight w:val="none"/>
        </w:rPr>
        <w:t>中提出的各项支付金额的总和。每一清单项目只允许有一个报价，任何有选择的报价将不予接受。</w:t>
      </w:r>
      <w:r>
        <w:rPr>
          <w:rFonts w:hint="eastAsia" w:ascii="宋体" w:hAnsi="宋体" w:cs="宋体"/>
          <w:color w:val="auto"/>
          <w:highlight w:val="none"/>
          <w:lang w:eastAsia="zh-CN"/>
        </w:rPr>
        <w:t>谈判响应人</w:t>
      </w:r>
      <w:r>
        <w:rPr>
          <w:rFonts w:hint="eastAsia" w:ascii="宋体" w:hAnsi="宋体" w:eastAsia="宋体" w:cs="宋体"/>
          <w:color w:val="auto"/>
          <w:highlight w:val="none"/>
        </w:rPr>
        <w:t>未填综合单价或合价的清单项目，将被视为该项费用已包括在其他有价款的综合单价或合价以及</w:t>
      </w:r>
      <w:r>
        <w:rPr>
          <w:rFonts w:hint="eastAsia" w:ascii="宋体" w:hAnsi="宋体" w:cs="宋体"/>
          <w:color w:val="auto"/>
          <w:highlight w:val="none"/>
          <w:lang w:eastAsia="zh-CN"/>
        </w:rPr>
        <w:t>谈判</w:t>
      </w:r>
      <w:r>
        <w:rPr>
          <w:rFonts w:hint="eastAsia" w:ascii="宋体" w:hAnsi="宋体" w:eastAsia="宋体" w:cs="宋体"/>
          <w:color w:val="auto"/>
          <w:highlight w:val="none"/>
        </w:rPr>
        <w:t>总价内，</w:t>
      </w:r>
      <w:r>
        <w:rPr>
          <w:rFonts w:hint="eastAsia" w:ascii="宋体" w:hAnsi="宋体" w:cs="宋体"/>
          <w:color w:val="auto"/>
          <w:highlight w:val="none"/>
          <w:lang w:eastAsia="zh-CN"/>
        </w:rPr>
        <w:t>谈判响应人</w:t>
      </w:r>
      <w:r>
        <w:rPr>
          <w:rFonts w:hint="eastAsia" w:ascii="宋体" w:hAnsi="宋体" w:eastAsia="宋体" w:cs="宋体"/>
          <w:color w:val="auto"/>
          <w:highlight w:val="none"/>
        </w:rPr>
        <w:t>必须按合同要求完成工程量清单中未填综合单价或合价的工程项目，任何与未填综合单价或合价的工程项目有关的工程价款，</w:t>
      </w:r>
      <w:r>
        <w:rPr>
          <w:rFonts w:hint="eastAsia" w:ascii="宋体" w:hAnsi="宋体" w:cs="宋体"/>
          <w:color w:val="auto"/>
          <w:highlight w:val="none"/>
          <w:lang w:eastAsia="zh-CN"/>
        </w:rPr>
        <w:t>采购人</w:t>
      </w:r>
      <w:r>
        <w:rPr>
          <w:rFonts w:hint="eastAsia" w:ascii="宋体" w:hAnsi="宋体" w:eastAsia="宋体" w:cs="宋体"/>
          <w:color w:val="auto"/>
          <w:highlight w:val="none"/>
        </w:rPr>
        <w:t>将不再另行支付。</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14.8工程材料</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14.8.1材料供应方式：</w:t>
      </w:r>
      <w:r>
        <w:rPr>
          <w:rFonts w:hint="eastAsia" w:ascii="宋体" w:hAnsi="宋体" w:cs="宋体"/>
          <w:color w:val="auto"/>
          <w:szCs w:val="21"/>
          <w:highlight w:val="none"/>
          <w:lang w:eastAsia="zh-CN"/>
        </w:rPr>
        <w:t>除采购人提供的材料和实行暂估价的材料及设备以外，</w:t>
      </w:r>
      <w:r>
        <w:rPr>
          <w:rFonts w:hint="eastAsia" w:ascii="宋体" w:hAnsi="宋体" w:cs="宋体"/>
          <w:color w:val="auto"/>
          <w:szCs w:val="21"/>
          <w:highlight w:val="none"/>
        </w:rPr>
        <w:t>本工程使用的材料由承包方采购供应并满足</w:t>
      </w:r>
      <w:r>
        <w:rPr>
          <w:rFonts w:hint="eastAsia" w:ascii="宋体" w:hAnsi="宋体" w:cs="宋体"/>
          <w:color w:val="auto"/>
          <w:szCs w:val="21"/>
          <w:highlight w:val="none"/>
          <w:lang w:eastAsia="zh-CN"/>
        </w:rPr>
        <w:t>谈判响应人须知前附表中</w:t>
      </w:r>
      <w:r>
        <w:rPr>
          <w:rFonts w:hint="eastAsia" w:ascii="宋体" w:hAnsi="宋体" w:cs="宋体"/>
          <w:color w:val="auto"/>
          <w:szCs w:val="21"/>
          <w:highlight w:val="none"/>
        </w:rPr>
        <w:t>“材料要求”的规定；</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14.8.2材料价格：除</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提供的材料和实行暂</w:t>
      </w:r>
      <w:r>
        <w:rPr>
          <w:rFonts w:hint="eastAsia" w:ascii="宋体" w:hAnsi="宋体" w:cs="宋体"/>
          <w:color w:val="auto"/>
          <w:szCs w:val="21"/>
          <w:highlight w:val="none"/>
          <w:lang w:eastAsia="zh-CN"/>
        </w:rPr>
        <w:t>估</w:t>
      </w:r>
      <w:r>
        <w:rPr>
          <w:rFonts w:hint="eastAsia" w:ascii="宋体" w:hAnsi="宋体" w:cs="宋体"/>
          <w:color w:val="auto"/>
          <w:szCs w:val="21"/>
          <w:highlight w:val="none"/>
        </w:rPr>
        <w:t>价的材料及设备以外，由</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自行采购的材料确定</w:t>
      </w:r>
      <w:r>
        <w:rPr>
          <w:rFonts w:hint="eastAsia" w:ascii="宋体" w:hAnsi="宋体" w:cs="宋体"/>
          <w:color w:val="auto"/>
          <w:szCs w:val="21"/>
          <w:highlight w:val="none"/>
          <w:lang w:eastAsia="zh-CN"/>
        </w:rPr>
        <w:t>谈判报价</w:t>
      </w:r>
      <w:r>
        <w:rPr>
          <w:rFonts w:hint="eastAsia" w:ascii="宋体" w:hAnsi="宋体" w:cs="宋体"/>
          <w:color w:val="auto"/>
          <w:szCs w:val="21"/>
          <w:highlight w:val="none"/>
        </w:rPr>
        <w:t>时应充分考虑材料价格上涨等市场风险因素，</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后不作调整，综合单价中的材料费应包括材料运杂费、</w:t>
      </w:r>
      <w:r>
        <w:rPr>
          <w:rFonts w:hint="eastAsia" w:ascii="宋体" w:hAnsi="宋体" w:cs="宋体"/>
          <w:color w:val="auto"/>
          <w:szCs w:val="21"/>
          <w:highlight w:val="none"/>
          <w:lang w:eastAsia="zh-CN"/>
        </w:rPr>
        <w:t>采购及保管</w:t>
      </w:r>
      <w:r>
        <w:rPr>
          <w:rFonts w:hint="eastAsia" w:ascii="宋体" w:hAnsi="宋体" w:cs="宋体"/>
          <w:color w:val="auto"/>
          <w:szCs w:val="21"/>
          <w:highlight w:val="none"/>
        </w:rPr>
        <w:t>费等。</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14.9本招标工程的施工地点为本须知前附表所述，</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应自行到施工现场踏勘以充分了解工地位置、情况、道路、储存空间、装卸限制及任何其它足以影响</w:t>
      </w:r>
      <w:r>
        <w:rPr>
          <w:rFonts w:hint="eastAsia" w:ascii="宋体" w:hAnsi="宋体" w:cs="宋体"/>
          <w:color w:val="auto"/>
          <w:szCs w:val="21"/>
          <w:highlight w:val="none"/>
          <w:lang w:eastAsia="zh-CN"/>
        </w:rPr>
        <w:t>谈判报价</w:t>
      </w:r>
      <w:r>
        <w:rPr>
          <w:rFonts w:hint="eastAsia" w:ascii="宋体" w:hAnsi="宋体" w:cs="宋体"/>
          <w:color w:val="auto"/>
          <w:szCs w:val="21"/>
          <w:highlight w:val="none"/>
        </w:rPr>
        <w:t>的情况，任何因忽视或误解施工场地情况而导致的索赔或工期延长申请将不被批准。对于受施工现场场地限制，如需要另外寻找场地解决临时住宿、材料及设备堆放，由此所产生的费用应包含在</w:t>
      </w:r>
      <w:r>
        <w:rPr>
          <w:rFonts w:hint="eastAsia" w:ascii="宋体" w:hAnsi="宋体" w:cs="宋体"/>
          <w:color w:val="auto"/>
          <w:szCs w:val="21"/>
          <w:highlight w:val="none"/>
          <w:lang w:eastAsia="zh-CN"/>
        </w:rPr>
        <w:t>谈判报价</w:t>
      </w:r>
      <w:r>
        <w:rPr>
          <w:rFonts w:hint="eastAsia" w:ascii="宋体" w:hAnsi="宋体" w:cs="宋体"/>
          <w:color w:val="auto"/>
          <w:szCs w:val="21"/>
          <w:highlight w:val="none"/>
        </w:rPr>
        <w:t>范围内，</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不再承担该费用。</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14.10工程造价的确定与控制</w:t>
      </w:r>
    </w:p>
    <w:p>
      <w:pPr>
        <w:widowControl/>
        <w:spacing w:line="360" w:lineRule="auto"/>
        <w:ind w:firstLine="420" w:firstLineChars="200"/>
        <w:jc w:val="left"/>
        <w:rPr>
          <w:rFonts w:hint="eastAsia" w:ascii="宋体" w:hAnsi="宋体" w:eastAsia="宋体" w:cs="宋体"/>
          <w:b/>
          <w:bCs/>
          <w:color w:val="auto"/>
          <w:highlight w:val="none"/>
        </w:rPr>
      </w:pPr>
      <w:r>
        <w:rPr>
          <w:rFonts w:hint="eastAsia" w:ascii="宋体" w:hAnsi="宋体" w:eastAsia="宋体" w:cs="宋体"/>
          <w:color w:val="auto"/>
          <w:highlight w:val="none"/>
        </w:rPr>
        <w:t>14.10.1本工程</w:t>
      </w:r>
      <w:r>
        <w:rPr>
          <w:rFonts w:hint="eastAsia" w:ascii="宋体" w:hAnsi="宋体" w:cs="宋体"/>
          <w:b/>
          <w:bCs/>
          <w:color w:val="auto"/>
          <w:highlight w:val="none"/>
          <w:lang w:eastAsia="zh-CN"/>
        </w:rPr>
        <w:t>成交价</w:t>
      </w:r>
      <w:r>
        <w:rPr>
          <w:rFonts w:hint="eastAsia" w:ascii="宋体" w:hAnsi="宋体" w:eastAsia="宋体" w:cs="宋体"/>
          <w:b/>
          <w:bCs/>
          <w:color w:val="auto"/>
          <w:highlight w:val="none"/>
        </w:rPr>
        <w:t>即本工程的固定合同价，除</w:t>
      </w:r>
      <w:r>
        <w:rPr>
          <w:rFonts w:hint="eastAsia" w:ascii="宋体" w:hAnsi="宋体" w:eastAsia="宋体" w:cs="宋体"/>
          <w:b/>
          <w:bCs/>
          <w:color w:val="auto"/>
          <w:highlight w:val="none"/>
          <w:lang w:eastAsia="zh-CN"/>
        </w:rPr>
        <w:t>政策性调整、</w:t>
      </w:r>
      <w:r>
        <w:rPr>
          <w:rFonts w:hint="eastAsia" w:ascii="宋体" w:hAnsi="宋体" w:eastAsia="宋体" w:cs="宋体"/>
          <w:b/>
          <w:bCs/>
          <w:color w:val="auto"/>
          <w:highlight w:val="none"/>
        </w:rPr>
        <w:t>经批准的设计变更、经济签证外，其它工程造价增减均不予签证计价。</w:t>
      </w:r>
    </w:p>
    <w:p>
      <w:pPr>
        <w:widowControl/>
        <w:spacing w:line="360" w:lineRule="auto"/>
        <w:ind w:firstLine="420" w:firstLineChars="200"/>
        <w:jc w:val="left"/>
        <w:rPr>
          <w:rFonts w:hint="eastAsia" w:ascii="宋体" w:hAnsi="宋体" w:eastAsia="宋体" w:cs="宋体"/>
          <w:b/>
          <w:bCs/>
          <w:color w:val="auto"/>
          <w:highlight w:val="none"/>
        </w:rPr>
      </w:pPr>
      <w:r>
        <w:rPr>
          <w:rFonts w:hint="eastAsia" w:ascii="宋体" w:hAnsi="宋体" w:eastAsia="宋体" w:cs="宋体"/>
          <w:color w:val="auto"/>
          <w:highlight w:val="none"/>
        </w:rPr>
        <w:t>14.10.2开标前，</w:t>
      </w:r>
      <w:r>
        <w:rPr>
          <w:rFonts w:hint="eastAsia" w:ascii="宋体" w:hAnsi="宋体" w:cs="宋体"/>
          <w:color w:val="auto"/>
          <w:highlight w:val="none"/>
          <w:lang w:eastAsia="zh-CN"/>
        </w:rPr>
        <w:t>谈判响应人</w:t>
      </w:r>
      <w:r>
        <w:rPr>
          <w:rFonts w:hint="eastAsia" w:ascii="宋体" w:hAnsi="宋体" w:eastAsia="宋体" w:cs="宋体"/>
          <w:color w:val="auto"/>
          <w:highlight w:val="none"/>
        </w:rPr>
        <w:t>应认真核对</w:t>
      </w:r>
      <w:r>
        <w:rPr>
          <w:rFonts w:hint="eastAsia" w:ascii="宋体" w:hAnsi="宋体" w:cs="宋体"/>
          <w:color w:val="auto"/>
          <w:highlight w:val="none"/>
          <w:lang w:eastAsia="zh-CN"/>
        </w:rPr>
        <w:t>采购人</w:t>
      </w:r>
      <w:r>
        <w:rPr>
          <w:rFonts w:hint="eastAsia" w:ascii="宋体" w:hAnsi="宋体" w:eastAsia="宋体" w:cs="宋体"/>
          <w:color w:val="auto"/>
          <w:highlight w:val="none"/>
        </w:rPr>
        <w:t>提供的工程量清单，</w:t>
      </w:r>
      <w:r>
        <w:rPr>
          <w:rFonts w:hint="eastAsia" w:ascii="宋体" w:hAnsi="宋体" w:eastAsia="宋体" w:cs="宋体"/>
          <w:b/>
          <w:bCs/>
          <w:color w:val="auto"/>
          <w:highlight w:val="none"/>
        </w:rPr>
        <w:t>发现工程量存在项目划分误差、计量单位误差、数量误差、遗漏项目的，必须在清单发放后</w:t>
      </w:r>
      <w:r>
        <w:rPr>
          <w:rFonts w:hint="eastAsia" w:ascii="宋体" w:hAnsi="宋体" w:cs="宋体"/>
          <w:b/>
          <w:bCs/>
          <w:color w:val="auto"/>
          <w:highlight w:val="none"/>
          <w:u w:val="single"/>
          <w:lang w:val="en-US" w:eastAsia="zh-CN"/>
        </w:rPr>
        <w:t>1</w:t>
      </w:r>
      <w:r>
        <w:rPr>
          <w:rFonts w:hint="eastAsia" w:ascii="宋体" w:hAnsi="宋体" w:eastAsia="宋体" w:cs="宋体"/>
          <w:b/>
          <w:bCs/>
          <w:color w:val="auto"/>
          <w:highlight w:val="none"/>
          <w:u w:val="single"/>
        </w:rPr>
        <w:t>日</w:t>
      </w:r>
      <w:r>
        <w:rPr>
          <w:rFonts w:hint="eastAsia" w:ascii="宋体" w:hAnsi="宋体" w:eastAsia="宋体" w:cs="宋体"/>
          <w:b/>
          <w:bCs/>
          <w:color w:val="auto"/>
          <w:highlight w:val="none"/>
        </w:rPr>
        <w:t>内向</w:t>
      </w:r>
      <w:r>
        <w:rPr>
          <w:rFonts w:hint="eastAsia" w:ascii="宋体" w:hAnsi="宋体" w:cs="宋体"/>
          <w:b/>
          <w:bCs/>
          <w:color w:val="auto"/>
          <w:highlight w:val="none"/>
          <w:lang w:eastAsia="zh-CN"/>
        </w:rPr>
        <w:t>采购人</w:t>
      </w:r>
      <w:r>
        <w:rPr>
          <w:rFonts w:hint="eastAsia" w:ascii="宋体" w:hAnsi="宋体" w:eastAsia="宋体" w:cs="宋体"/>
          <w:b/>
          <w:bCs/>
          <w:color w:val="auto"/>
          <w:highlight w:val="none"/>
        </w:rPr>
        <w:t>提出</w:t>
      </w:r>
      <w:r>
        <w:rPr>
          <w:rFonts w:hint="eastAsia" w:ascii="宋体" w:hAnsi="宋体" w:eastAsia="宋体" w:cs="宋体"/>
          <w:b/>
          <w:bCs/>
          <w:color w:val="auto"/>
          <w:highlight w:val="none"/>
          <w:lang w:eastAsia="zh-CN"/>
        </w:rPr>
        <w:t>问题</w:t>
      </w:r>
      <w:r>
        <w:rPr>
          <w:rFonts w:hint="eastAsia" w:ascii="宋体" w:hAnsi="宋体" w:eastAsia="宋体" w:cs="宋体"/>
          <w:b/>
          <w:bCs/>
          <w:color w:val="auto"/>
          <w:highlight w:val="none"/>
        </w:rPr>
        <w:t>，否则</w:t>
      </w:r>
      <w:r>
        <w:rPr>
          <w:rFonts w:hint="eastAsia" w:ascii="宋体" w:hAnsi="宋体" w:cs="宋体"/>
          <w:b/>
          <w:bCs/>
          <w:color w:val="auto"/>
          <w:highlight w:val="none"/>
          <w:lang w:eastAsia="zh-CN"/>
        </w:rPr>
        <w:t>采购人</w:t>
      </w:r>
      <w:r>
        <w:rPr>
          <w:rFonts w:hint="eastAsia" w:ascii="宋体" w:hAnsi="宋体" w:eastAsia="宋体" w:cs="宋体"/>
          <w:b/>
          <w:bCs/>
          <w:color w:val="auto"/>
          <w:highlight w:val="none"/>
        </w:rPr>
        <w:t>可不予答复。</w:t>
      </w:r>
    </w:p>
    <w:p>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14.10.3</w:t>
      </w:r>
      <w:r>
        <w:rPr>
          <w:rFonts w:hint="eastAsia" w:ascii="宋体" w:hAnsi="宋体" w:cs="宋体"/>
          <w:b/>
          <w:bCs/>
          <w:color w:val="auto"/>
          <w:highlight w:val="none"/>
          <w:lang w:eastAsia="zh-CN"/>
        </w:rPr>
        <w:t>采购人</w:t>
      </w:r>
      <w:r>
        <w:rPr>
          <w:rFonts w:hint="eastAsia" w:ascii="宋体" w:hAnsi="宋体" w:eastAsia="宋体" w:cs="宋体"/>
          <w:b/>
          <w:bCs/>
          <w:color w:val="auto"/>
          <w:highlight w:val="none"/>
        </w:rPr>
        <w:t>对</w:t>
      </w:r>
      <w:r>
        <w:rPr>
          <w:rFonts w:hint="eastAsia" w:ascii="宋体" w:hAnsi="宋体" w:cs="宋体"/>
          <w:b/>
          <w:bCs/>
          <w:color w:val="auto"/>
          <w:highlight w:val="none"/>
          <w:lang w:eastAsia="zh-CN"/>
        </w:rPr>
        <w:t>谈判响应人</w:t>
      </w:r>
      <w:r>
        <w:rPr>
          <w:rFonts w:hint="eastAsia" w:ascii="宋体" w:hAnsi="宋体" w:eastAsia="宋体" w:cs="宋体"/>
          <w:b/>
          <w:bCs/>
          <w:color w:val="auto"/>
          <w:highlight w:val="none"/>
          <w:lang w:eastAsia="zh-CN"/>
        </w:rPr>
        <w:t>提出的问题</w:t>
      </w:r>
      <w:r>
        <w:rPr>
          <w:rFonts w:hint="eastAsia" w:ascii="宋体" w:hAnsi="宋体" w:eastAsia="宋体" w:cs="宋体"/>
          <w:b/>
          <w:bCs/>
          <w:color w:val="auto"/>
          <w:highlight w:val="none"/>
        </w:rPr>
        <w:t>应进行核实，确认工程量单项子目误差在±3%（含±3%）以内，</w:t>
      </w:r>
      <w:r>
        <w:rPr>
          <w:rFonts w:hint="eastAsia" w:ascii="宋体" w:hAnsi="宋体" w:cs="宋体"/>
          <w:b/>
          <w:bCs/>
          <w:color w:val="auto"/>
          <w:highlight w:val="none"/>
          <w:lang w:eastAsia="zh-CN"/>
        </w:rPr>
        <w:t>采购人</w:t>
      </w:r>
      <w:r>
        <w:rPr>
          <w:rFonts w:hint="eastAsia" w:ascii="宋体" w:hAnsi="宋体" w:eastAsia="宋体" w:cs="宋体"/>
          <w:b/>
          <w:bCs/>
          <w:color w:val="auto"/>
          <w:highlight w:val="none"/>
        </w:rPr>
        <w:t>可不予调整工程量，</w:t>
      </w:r>
      <w:r>
        <w:rPr>
          <w:rFonts w:hint="eastAsia" w:ascii="宋体" w:hAnsi="宋体" w:cs="宋体"/>
          <w:b/>
          <w:bCs/>
          <w:color w:val="auto"/>
          <w:highlight w:val="none"/>
          <w:lang w:eastAsia="zh-CN"/>
        </w:rPr>
        <w:t>谈判响应人</w:t>
      </w:r>
      <w:r>
        <w:rPr>
          <w:rFonts w:hint="eastAsia" w:ascii="宋体" w:hAnsi="宋体" w:eastAsia="宋体" w:cs="宋体"/>
          <w:b/>
          <w:bCs/>
          <w:color w:val="auto"/>
          <w:highlight w:val="none"/>
        </w:rPr>
        <w:t>应将其误差考虑在综合单价内；若单项子目工程量误差或有遗漏项目超过±3%的，</w:t>
      </w:r>
      <w:r>
        <w:rPr>
          <w:rFonts w:hint="eastAsia" w:ascii="宋体" w:hAnsi="宋体" w:cs="宋体"/>
          <w:b/>
          <w:bCs/>
          <w:color w:val="auto"/>
          <w:highlight w:val="none"/>
          <w:lang w:eastAsia="zh-CN"/>
        </w:rPr>
        <w:t>采购人</w:t>
      </w:r>
      <w:r>
        <w:rPr>
          <w:rFonts w:hint="eastAsia" w:ascii="宋体" w:hAnsi="宋体" w:eastAsia="宋体" w:cs="宋体"/>
          <w:b/>
          <w:bCs/>
          <w:color w:val="auto"/>
          <w:highlight w:val="none"/>
        </w:rPr>
        <w:t>应进行修正并重新公布准确的工程量清单。</w:t>
      </w:r>
    </w:p>
    <w:p>
      <w:pPr>
        <w:widowControl/>
        <w:spacing w:line="360" w:lineRule="auto"/>
        <w:ind w:firstLine="420" w:firstLineChars="200"/>
        <w:jc w:val="left"/>
        <w:rPr>
          <w:rFonts w:hint="eastAsia" w:ascii="宋体" w:hAnsi="宋体" w:eastAsia="宋体" w:cs="宋体"/>
          <w:b/>
          <w:bCs/>
          <w:color w:val="auto"/>
          <w:highlight w:val="none"/>
        </w:rPr>
      </w:pPr>
      <w:r>
        <w:rPr>
          <w:rFonts w:hint="eastAsia" w:ascii="宋体" w:hAnsi="宋体" w:eastAsia="宋体" w:cs="宋体"/>
          <w:color w:val="auto"/>
          <w:highlight w:val="none"/>
        </w:rPr>
        <w:t>14.10.4</w:t>
      </w:r>
      <w:r>
        <w:rPr>
          <w:rFonts w:hint="eastAsia" w:ascii="宋体" w:hAnsi="宋体" w:cs="宋体"/>
          <w:b/>
          <w:bCs/>
          <w:color w:val="auto"/>
          <w:highlight w:val="none"/>
          <w:lang w:eastAsia="zh-CN"/>
        </w:rPr>
        <w:t>谈判响应人</w:t>
      </w:r>
      <w:r>
        <w:rPr>
          <w:rFonts w:hint="eastAsia" w:ascii="宋体" w:hAnsi="宋体" w:eastAsia="宋体" w:cs="宋体"/>
          <w:b/>
          <w:bCs/>
          <w:color w:val="auto"/>
          <w:highlight w:val="none"/>
        </w:rPr>
        <w:t>在规定时间内未对工程量清单提出</w:t>
      </w:r>
      <w:r>
        <w:rPr>
          <w:rFonts w:hint="eastAsia" w:ascii="宋体" w:hAnsi="宋体" w:eastAsia="宋体" w:cs="宋体"/>
          <w:b/>
          <w:bCs/>
          <w:color w:val="auto"/>
          <w:highlight w:val="none"/>
          <w:lang w:eastAsia="zh-CN"/>
        </w:rPr>
        <w:t>问题</w:t>
      </w:r>
      <w:r>
        <w:rPr>
          <w:rFonts w:hint="eastAsia" w:ascii="宋体" w:hAnsi="宋体" w:eastAsia="宋体" w:cs="宋体"/>
          <w:b/>
          <w:bCs/>
          <w:color w:val="auto"/>
          <w:highlight w:val="none"/>
        </w:rPr>
        <w:t>的，</w:t>
      </w:r>
      <w:r>
        <w:rPr>
          <w:rFonts w:hint="eastAsia" w:ascii="宋体" w:hAnsi="宋体" w:cs="宋体"/>
          <w:b/>
          <w:bCs/>
          <w:color w:val="auto"/>
          <w:highlight w:val="none"/>
          <w:lang w:eastAsia="zh-CN"/>
        </w:rPr>
        <w:t>成交</w:t>
      </w:r>
      <w:r>
        <w:rPr>
          <w:rFonts w:hint="eastAsia" w:ascii="宋体" w:hAnsi="宋体" w:eastAsia="宋体" w:cs="宋体"/>
          <w:b/>
          <w:bCs/>
          <w:color w:val="auto"/>
          <w:highlight w:val="none"/>
        </w:rPr>
        <w:t>后，</w:t>
      </w:r>
      <w:r>
        <w:rPr>
          <w:rFonts w:hint="eastAsia" w:ascii="宋体" w:hAnsi="宋体" w:cs="宋体"/>
          <w:b/>
          <w:bCs/>
          <w:color w:val="auto"/>
          <w:highlight w:val="none"/>
          <w:lang w:eastAsia="zh-CN"/>
        </w:rPr>
        <w:t>采购人</w:t>
      </w:r>
      <w:r>
        <w:rPr>
          <w:rFonts w:hint="eastAsia" w:ascii="宋体" w:hAnsi="宋体" w:eastAsia="宋体" w:cs="宋体"/>
          <w:b/>
          <w:bCs/>
          <w:color w:val="auto"/>
          <w:highlight w:val="none"/>
        </w:rPr>
        <w:t>不再对工程量清单的项目和数量进行校对调整。</w:t>
      </w:r>
      <w:r>
        <w:rPr>
          <w:rFonts w:hint="eastAsia" w:ascii="宋体" w:hAnsi="宋体" w:eastAsia="宋体" w:cs="宋体"/>
          <w:b/>
          <w:bCs/>
          <w:color w:val="auto"/>
          <w:highlight w:val="none"/>
          <w:lang w:eastAsia="zh-CN"/>
        </w:rPr>
        <w:t>谈判响应人</w:t>
      </w:r>
      <w:r>
        <w:rPr>
          <w:rFonts w:hint="eastAsia" w:ascii="宋体" w:hAnsi="宋体" w:eastAsia="宋体" w:cs="宋体"/>
          <w:b/>
          <w:bCs/>
          <w:color w:val="auto"/>
          <w:highlight w:val="none"/>
        </w:rPr>
        <w:t>必须按其报价完成所有工程项目。</w:t>
      </w:r>
    </w:p>
    <w:p>
      <w:pPr>
        <w:widowControl/>
        <w:spacing w:line="360" w:lineRule="auto"/>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14.1</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本招标工程不接受恶意不平衡报价，不保证最低价</w:t>
      </w:r>
      <w:r>
        <w:rPr>
          <w:rFonts w:hint="eastAsia" w:ascii="宋体" w:hAnsi="宋体" w:eastAsia="宋体" w:cs="宋体"/>
          <w:b/>
          <w:bCs/>
          <w:color w:val="auto"/>
          <w:highlight w:val="none"/>
          <w:lang w:eastAsia="zh-CN"/>
        </w:rPr>
        <w:t>成交</w:t>
      </w:r>
      <w:r>
        <w:rPr>
          <w:rFonts w:hint="eastAsia" w:ascii="宋体" w:hAnsi="宋体" w:eastAsia="宋体" w:cs="宋体"/>
          <w:b/>
          <w:bCs/>
          <w:color w:val="auto"/>
          <w:highlight w:val="none"/>
        </w:rPr>
        <w:t>。</w:t>
      </w:r>
    </w:p>
    <w:p>
      <w:pPr>
        <w:widowControl/>
        <w:spacing w:line="360" w:lineRule="auto"/>
        <w:ind w:firstLine="420" w:firstLineChars="200"/>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14.12</w:t>
      </w:r>
      <w:r>
        <w:rPr>
          <w:rFonts w:hint="eastAsia" w:ascii="宋体" w:hAnsi="宋体" w:eastAsia="宋体" w:cs="宋体"/>
          <w:b w:val="0"/>
          <w:bCs w:val="0"/>
          <w:color w:val="auto"/>
          <w:highlight w:val="none"/>
        </w:rPr>
        <w:t>谈判响应报价高于最高限价的谈判响应无效</w:t>
      </w:r>
      <w:r>
        <w:rPr>
          <w:rFonts w:hint="eastAsia" w:ascii="宋体" w:hAnsi="宋体" w:eastAsia="宋体" w:cs="宋体"/>
          <w:b w:val="0"/>
          <w:bCs w:val="0"/>
          <w:color w:val="auto"/>
          <w:highlight w:val="none"/>
          <w:lang w:eastAsia="zh-CN"/>
        </w:rPr>
        <w:t>。</w:t>
      </w:r>
    </w:p>
    <w:p>
      <w:pPr>
        <w:widowControl/>
        <w:spacing w:line="360" w:lineRule="auto"/>
        <w:ind w:firstLine="420" w:firstLineChars="200"/>
        <w:jc w:val="lef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val="en-US" w:eastAsia="zh-CN"/>
        </w:rPr>
        <w:t>14.13</w:t>
      </w:r>
      <w:r>
        <w:rPr>
          <w:rFonts w:hint="eastAsia" w:ascii="宋体" w:hAnsi="宋体" w:eastAsia="宋体" w:cs="宋体"/>
          <w:b w:val="0"/>
          <w:bCs w:val="0"/>
          <w:color w:val="auto"/>
          <w:highlight w:val="none"/>
        </w:rPr>
        <w:t>若大写金额和小写金额不一致的，以大写金额为准</w:t>
      </w:r>
      <w:r>
        <w:rPr>
          <w:rFonts w:hint="eastAsia" w:ascii="宋体" w:hAnsi="宋体" w:eastAsia="宋体" w:cs="宋体"/>
          <w:b w:val="0"/>
          <w:bCs w:val="0"/>
          <w:color w:val="auto"/>
          <w:highlight w:val="none"/>
          <w:lang w:eastAsia="zh-CN"/>
        </w:rPr>
        <w:t>。</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报价</w:t>
      </w:r>
      <w:r>
        <w:rPr>
          <w:rFonts w:hint="eastAsia" w:ascii="宋体" w:hAnsi="宋体" w:cs="宋体"/>
          <w:b/>
          <w:color w:val="auto"/>
          <w:szCs w:val="21"/>
          <w:highlight w:val="none"/>
        </w:rPr>
        <w:t>货币：</w:t>
      </w:r>
    </w:p>
    <w:p>
      <w:pPr>
        <w:pStyle w:val="16"/>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本工程</w:t>
      </w:r>
      <w:r>
        <w:rPr>
          <w:rFonts w:hint="eastAsia" w:hAnsi="宋体" w:cs="宋体"/>
          <w:color w:val="auto"/>
          <w:highlight w:val="none"/>
          <w:lang w:eastAsia="zh-CN"/>
        </w:rPr>
        <w:t>谈判报价</w:t>
      </w:r>
      <w:r>
        <w:rPr>
          <w:rFonts w:hint="eastAsia" w:ascii="宋体" w:hAnsi="宋体" w:eastAsia="宋体" w:cs="宋体"/>
          <w:color w:val="auto"/>
          <w:highlight w:val="none"/>
        </w:rPr>
        <w:t>采用的币种为</w:t>
      </w:r>
      <w:r>
        <w:rPr>
          <w:rFonts w:hint="eastAsia" w:ascii="宋体" w:hAnsi="宋体" w:eastAsia="宋体" w:cs="宋体"/>
          <w:color w:val="auto"/>
          <w:highlight w:val="none"/>
          <w:u w:val="single"/>
        </w:rPr>
        <w:t>人民币</w:t>
      </w:r>
      <w:r>
        <w:rPr>
          <w:rFonts w:hint="eastAsia" w:ascii="宋体" w:hAnsi="宋体" w:eastAsia="宋体" w:cs="宋体"/>
          <w:color w:val="auto"/>
          <w:highlight w:val="none"/>
        </w:rPr>
        <w:t>。</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w:t>
      </w:r>
      <w:r>
        <w:rPr>
          <w:rFonts w:hint="eastAsia" w:ascii="宋体" w:hAnsi="宋体" w:cs="宋体"/>
          <w:b/>
          <w:color w:val="auto"/>
          <w:szCs w:val="21"/>
          <w:highlight w:val="none"/>
          <w:lang w:eastAsia="zh-CN"/>
        </w:rPr>
        <w:t>谈判</w:t>
      </w:r>
      <w:r>
        <w:rPr>
          <w:rFonts w:hint="eastAsia" w:ascii="宋体" w:hAnsi="宋体" w:cs="宋体"/>
          <w:b/>
          <w:color w:val="auto"/>
          <w:szCs w:val="21"/>
          <w:highlight w:val="none"/>
        </w:rPr>
        <w:t>有效期</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有效期见本须知前附表规定的期限，在此期限内，凡符合本</w:t>
      </w:r>
      <w:r>
        <w:rPr>
          <w:rFonts w:hint="eastAsia" w:ascii="宋体" w:hAnsi="宋体" w:cs="宋体"/>
          <w:color w:val="auto"/>
          <w:szCs w:val="21"/>
          <w:highlight w:val="none"/>
          <w:lang w:eastAsia="zh-CN"/>
        </w:rPr>
        <w:t>竞争性谈判文件</w:t>
      </w:r>
      <w:r>
        <w:rPr>
          <w:rFonts w:hint="eastAsia" w:ascii="宋体" w:hAnsi="宋体" w:cs="宋体"/>
          <w:color w:val="auto"/>
          <w:szCs w:val="21"/>
          <w:highlight w:val="none"/>
        </w:rPr>
        <w:t>要求的</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均保持有效。</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.2在特殊情况下，</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在原定</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有效期内，可以根据需要向</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提出延长</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有效期的要求，</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可以拒绝</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这种要求，</w:t>
      </w:r>
      <w:r>
        <w:rPr>
          <w:rFonts w:hint="eastAsia" w:ascii="宋体" w:hAnsi="宋体" w:cs="宋体"/>
          <w:color w:val="auto"/>
          <w:szCs w:val="21"/>
          <w:highlight w:val="none"/>
          <w:lang w:eastAsia="zh-CN"/>
        </w:rPr>
        <w:t>有权要求退还谈判保证</w:t>
      </w:r>
      <w:r>
        <w:rPr>
          <w:rFonts w:hint="eastAsia" w:ascii="宋体" w:hAnsi="宋体" w:cs="宋体"/>
          <w:color w:val="auto"/>
          <w:szCs w:val="21"/>
          <w:highlight w:val="none"/>
        </w:rPr>
        <w:t>金，但是对拒绝延长</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有效期的</w:t>
      </w:r>
      <w:r>
        <w:rPr>
          <w:rFonts w:hint="eastAsia" w:ascii="宋体" w:hAnsi="宋体" w:cs="宋体"/>
          <w:color w:val="auto"/>
          <w:szCs w:val="21"/>
          <w:highlight w:val="none"/>
          <w:lang w:eastAsia="zh-CN"/>
        </w:rPr>
        <w:t>谈判响应人，采购人</w:t>
      </w:r>
      <w:r>
        <w:rPr>
          <w:rFonts w:hint="eastAsia" w:ascii="宋体" w:hAnsi="宋体" w:cs="宋体"/>
          <w:color w:val="auto"/>
          <w:szCs w:val="21"/>
          <w:highlight w:val="none"/>
        </w:rPr>
        <w:t>有权利拒绝其</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。同意延长</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有效期的</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既不能要求也不允许修改其</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，但需要相应的延长</w:t>
      </w:r>
      <w:r>
        <w:rPr>
          <w:rFonts w:hint="eastAsia" w:ascii="宋体" w:hAnsi="宋体" w:cs="宋体"/>
          <w:color w:val="auto"/>
          <w:szCs w:val="21"/>
          <w:highlight w:val="none"/>
          <w:lang w:eastAsia="zh-CN"/>
        </w:rPr>
        <w:t>谈判保证金</w:t>
      </w:r>
      <w:r>
        <w:rPr>
          <w:rFonts w:hint="eastAsia" w:ascii="宋体" w:hAnsi="宋体" w:cs="宋体"/>
          <w:color w:val="auto"/>
          <w:szCs w:val="21"/>
          <w:highlight w:val="none"/>
        </w:rPr>
        <w:t>的有效期，在延长的</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有效期内本须知第</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条关于</w:t>
      </w:r>
      <w:r>
        <w:rPr>
          <w:rFonts w:hint="eastAsia" w:ascii="宋体" w:hAnsi="宋体" w:cs="宋体"/>
          <w:color w:val="auto"/>
          <w:szCs w:val="21"/>
          <w:highlight w:val="none"/>
          <w:lang w:eastAsia="zh-CN"/>
        </w:rPr>
        <w:t>谈判保证金</w:t>
      </w:r>
      <w:r>
        <w:rPr>
          <w:rFonts w:hint="eastAsia" w:ascii="宋体" w:hAnsi="宋体" w:cs="宋体"/>
          <w:color w:val="auto"/>
          <w:szCs w:val="21"/>
          <w:highlight w:val="none"/>
        </w:rPr>
        <w:t>的退还与不予退还的规定仍然适用。</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lang w:val="en-US" w:eastAsia="zh-CN"/>
        </w:rPr>
        <w:t>17.有下述情形之一的处理：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.1谈判响应人有下列情形之一的，记入不良行为记录：</w:t>
      </w:r>
    </w:p>
    <w:p>
      <w:pPr>
        <w:keepNext w:val="0"/>
        <w:keepLines w:val="0"/>
        <w:pageBreakBefore w:val="0"/>
        <w:kinsoku/>
        <w:wordWrap/>
        <w:overflowPunct/>
        <w:topLinePunct w:val="0"/>
        <w:autoSpaceDE/>
        <w:autoSpaceDN/>
        <w:bidi w:val="0"/>
        <w:adjustRightInd/>
        <w:snapToGrid/>
        <w:spacing w:line="360" w:lineRule="auto"/>
        <w:ind w:left="420"/>
        <w:textAlignment w:val="auto"/>
        <w:rPr>
          <w:rFonts w:ascii="宋体" w:hAnsi="宋体" w:cs="宋体"/>
          <w:color w:val="auto"/>
          <w:szCs w:val="21"/>
          <w:highlight w:val="none"/>
        </w:rPr>
      </w:pPr>
      <w:r>
        <w:rPr>
          <w:rFonts w:hint="eastAsia" w:ascii="宋体" w:hAnsi="宋体" w:cs="宋体"/>
          <w:color w:val="auto"/>
          <w:szCs w:val="21"/>
          <w:highlight w:val="none"/>
        </w:rPr>
        <w:t>（1）谈判响应文件提交截止时间后，谈判响应人在谈判响应有效期内撤销谈判响应文件的；</w:t>
      </w:r>
    </w:p>
    <w:p>
      <w:pPr>
        <w:keepNext w:val="0"/>
        <w:keepLines w:val="0"/>
        <w:pageBreakBefore w:val="0"/>
        <w:kinsoku/>
        <w:wordWrap/>
        <w:overflowPunct/>
        <w:topLinePunct w:val="0"/>
        <w:autoSpaceDE/>
        <w:autoSpaceDN/>
        <w:bidi w:val="0"/>
        <w:adjustRightInd/>
        <w:snapToGrid/>
        <w:spacing w:line="360" w:lineRule="auto"/>
        <w:ind w:left="420"/>
        <w:textAlignment w:val="auto"/>
        <w:rPr>
          <w:rFonts w:ascii="宋体" w:hAnsi="宋体" w:cs="宋体"/>
          <w:color w:val="auto"/>
          <w:szCs w:val="21"/>
          <w:highlight w:val="none"/>
        </w:rPr>
      </w:pPr>
      <w:r>
        <w:rPr>
          <w:rFonts w:hint="eastAsia" w:ascii="宋体" w:hAnsi="宋体" w:cs="宋体"/>
          <w:color w:val="auto"/>
          <w:szCs w:val="21"/>
          <w:highlight w:val="none"/>
        </w:rPr>
        <w:t>（2）成交人无正当理由不与采购人订立合同的，或在签订合同时向采购人提出附加条件的；</w:t>
      </w:r>
    </w:p>
    <w:p>
      <w:pPr>
        <w:keepNext w:val="0"/>
        <w:keepLines w:val="0"/>
        <w:pageBreakBefore w:val="0"/>
        <w:kinsoku/>
        <w:wordWrap/>
        <w:overflowPunct/>
        <w:topLinePunct w:val="0"/>
        <w:autoSpaceDE/>
        <w:autoSpaceDN/>
        <w:bidi w:val="0"/>
        <w:adjustRightInd/>
        <w:snapToGrid/>
        <w:spacing w:line="360" w:lineRule="auto"/>
        <w:ind w:left="420"/>
        <w:textAlignment w:val="auto"/>
        <w:rPr>
          <w:rFonts w:ascii="宋体" w:hAnsi="宋体" w:cs="宋体"/>
          <w:color w:val="auto"/>
          <w:szCs w:val="21"/>
          <w:highlight w:val="none"/>
        </w:rPr>
      </w:pPr>
      <w:r>
        <w:rPr>
          <w:rFonts w:hint="eastAsia" w:ascii="宋体" w:hAnsi="宋体" w:cs="宋体"/>
          <w:color w:val="auto"/>
          <w:szCs w:val="21"/>
          <w:highlight w:val="none"/>
        </w:rPr>
        <w:t>（3）不按照竞争性谈判文件要求提交履约保证金的；</w:t>
      </w:r>
    </w:p>
    <w:p>
      <w:pPr>
        <w:keepNext w:val="0"/>
        <w:keepLines w:val="0"/>
        <w:pageBreakBefore w:val="0"/>
        <w:kinsoku/>
        <w:wordWrap/>
        <w:overflowPunct/>
        <w:topLinePunct w:val="0"/>
        <w:autoSpaceDE/>
        <w:autoSpaceDN/>
        <w:bidi w:val="0"/>
        <w:adjustRightInd/>
        <w:snapToGrid/>
        <w:spacing w:line="360" w:lineRule="auto"/>
        <w:ind w:left="420"/>
        <w:textAlignment w:val="auto"/>
        <w:rPr>
          <w:rFonts w:ascii="宋体" w:hAnsi="宋体" w:cs="宋体"/>
          <w:color w:val="auto"/>
          <w:szCs w:val="21"/>
          <w:highlight w:val="none"/>
        </w:rPr>
      </w:pPr>
      <w:r>
        <w:rPr>
          <w:rFonts w:hint="eastAsia" w:ascii="宋体" w:hAnsi="宋体" w:cs="宋体"/>
          <w:color w:val="auto"/>
          <w:szCs w:val="21"/>
          <w:highlight w:val="none"/>
        </w:rPr>
        <w:t>（4）将成交项目转让给他人，或未按相关规定将成交项目分包给他人的；</w:t>
      </w:r>
    </w:p>
    <w:p>
      <w:pPr>
        <w:keepNext w:val="0"/>
        <w:keepLines w:val="0"/>
        <w:pageBreakBefore w:val="0"/>
        <w:kinsoku/>
        <w:wordWrap/>
        <w:overflowPunct/>
        <w:topLinePunct w:val="0"/>
        <w:autoSpaceDE/>
        <w:autoSpaceDN/>
        <w:bidi w:val="0"/>
        <w:adjustRightInd/>
        <w:snapToGrid/>
        <w:spacing w:line="360" w:lineRule="auto"/>
        <w:ind w:left="420"/>
        <w:textAlignment w:val="auto"/>
        <w:rPr>
          <w:rFonts w:ascii="宋体" w:hAnsi="宋体" w:cs="宋体"/>
          <w:color w:val="auto"/>
          <w:szCs w:val="21"/>
          <w:highlight w:val="none"/>
        </w:rPr>
      </w:pPr>
      <w:r>
        <w:rPr>
          <w:rFonts w:hint="eastAsia" w:ascii="宋体" w:hAnsi="宋体" w:cs="宋体"/>
          <w:color w:val="auto"/>
          <w:szCs w:val="21"/>
          <w:highlight w:val="none"/>
        </w:rPr>
        <w:t>（5）成交人拒绝履行合同义务的；</w:t>
      </w:r>
    </w:p>
    <w:p>
      <w:pPr>
        <w:keepNext w:val="0"/>
        <w:keepLines w:val="0"/>
        <w:pageBreakBefore w:val="0"/>
        <w:kinsoku/>
        <w:wordWrap/>
        <w:overflowPunct/>
        <w:topLinePunct w:val="0"/>
        <w:autoSpaceDE/>
        <w:autoSpaceDN/>
        <w:bidi w:val="0"/>
        <w:adjustRightInd/>
        <w:snapToGrid/>
        <w:spacing w:line="360" w:lineRule="auto"/>
        <w:ind w:left="420"/>
        <w:textAlignment w:val="auto"/>
        <w:rPr>
          <w:rFonts w:ascii="宋体" w:hAnsi="宋体" w:cs="宋体"/>
          <w:color w:val="auto"/>
          <w:szCs w:val="21"/>
          <w:highlight w:val="none"/>
        </w:rPr>
      </w:pPr>
      <w:r>
        <w:rPr>
          <w:rFonts w:hint="eastAsia" w:ascii="宋体" w:hAnsi="宋体" w:cs="宋体"/>
          <w:color w:val="auto"/>
          <w:szCs w:val="21"/>
          <w:highlight w:val="none"/>
        </w:rPr>
        <w:t xml:space="preserve">（6）提供虚假材料谋取成交的； </w:t>
      </w:r>
    </w:p>
    <w:p>
      <w:pPr>
        <w:keepNext w:val="0"/>
        <w:keepLines w:val="0"/>
        <w:pageBreakBefore w:val="0"/>
        <w:kinsoku/>
        <w:wordWrap/>
        <w:overflowPunct/>
        <w:topLinePunct w:val="0"/>
        <w:autoSpaceDE/>
        <w:autoSpaceDN/>
        <w:bidi w:val="0"/>
        <w:adjustRightInd/>
        <w:snapToGrid/>
        <w:spacing w:line="360" w:lineRule="auto"/>
        <w:ind w:left="420"/>
        <w:textAlignment w:val="auto"/>
        <w:rPr>
          <w:rFonts w:ascii="宋体" w:hAnsi="宋体" w:cs="宋体"/>
          <w:color w:val="auto"/>
          <w:szCs w:val="21"/>
          <w:highlight w:val="none"/>
        </w:rPr>
      </w:pPr>
      <w:r>
        <w:rPr>
          <w:rFonts w:hint="eastAsia" w:ascii="宋体" w:hAnsi="宋体" w:cs="宋体"/>
          <w:color w:val="auto"/>
          <w:szCs w:val="21"/>
          <w:highlight w:val="none"/>
        </w:rPr>
        <w:t xml:space="preserve">（7）采取不正当手段诋毁、排挤其他供应商的； </w:t>
      </w:r>
    </w:p>
    <w:p>
      <w:pPr>
        <w:keepNext w:val="0"/>
        <w:keepLines w:val="0"/>
        <w:pageBreakBefore w:val="0"/>
        <w:kinsoku/>
        <w:wordWrap/>
        <w:overflowPunct/>
        <w:topLinePunct w:val="0"/>
        <w:autoSpaceDE/>
        <w:autoSpaceDN/>
        <w:bidi w:val="0"/>
        <w:adjustRightInd/>
        <w:snapToGrid/>
        <w:spacing w:line="360" w:lineRule="auto"/>
        <w:ind w:left="420"/>
        <w:textAlignment w:val="auto"/>
        <w:rPr>
          <w:rFonts w:ascii="宋体" w:hAnsi="宋体" w:cs="宋体"/>
          <w:color w:val="auto"/>
          <w:szCs w:val="21"/>
          <w:highlight w:val="none"/>
        </w:rPr>
      </w:pPr>
      <w:r>
        <w:rPr>
          <w:rFonts w:hint="eastAsia" w:ascii="宋体" w:hAnsi="宋体" w:cs="宋体"/>
          <w:color w:val="auto"/>
          <w:szCs w:val="21"/>
          <w:highlight w:val="none"/>
        </w:rPr>
        <w:t xml:space="preserve">（8）与采购单位、其他谈判响应人恶意串通的； </w:t>
      </w:r>
    </w:p>
    <w:p>
      <w:pPr>
        <w:keepNext w:val="0"/>
        <w:keepLines w:val="0"/>
        <w:pageBreakBefore w:val="0"/>
        <w:kinsoku/>
        <w:wordWrap/>
        <w:overflowPunct/>
        <w:topLinePunct w:val="0"/>
        <w:autoSpaceDE/>
        <w:autoSpaceDN/>
        <w:bidi w:val="0"/>
        <w:adjustRightInd/>
        <w:snapToGrid/>
        <w:spacing w:line="360" w:lineRule="auto"/>
        <w:ind w:left="420"/>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）视为谈判响应人串通投标的；</w:t>
      </w:r>
    </w:p>
    <w:p>
      <w:pPr>
        <w:keepNext w:val="0"/>
        <w:keepLines w:val="0"/>
        <w:pageBreakBefore w:val="0"/>
        <w:kinsoku/>
        <w:wordWrap/>
        <w:overflowPunct/>
        <w:topLinePunct w:val="0"/>
        <w:autoSpaceDE/>
        <w:autoSpaceDN/>
        <w:bidi w:val="0"/>
        <w:adjustRightInd/>
        <w:snapToGrid/>
        <w:spacing w:line="360" w:lineRule="auto"/>
        <w:ind w:left="420"/>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 xml:space="preserve">）向采购单位行贿或者提供其他不正当利益的； </w:t>
      </w:r>
    </w:p>
    <w:p>
      <w:pPr>
        <w:keepNext w:val="0"/>
        <w:keepLines w:val="0"/>
        <w:pageBreakBefore w:val="0"/>
        <w:kinsoku/>
        <w:wordWrap/>
        <w:overflowPunct/>
        <w:topLinePunct w:val="0"/>
        <w:autoSpaceDE/>
        <w:autoSpaceDN/>
        <w:bidi w:val="0"/>
        <w:adjustRightInd/>
        <w:snapToGrid/>
        <w:spacing w:line="360" w:lineRule="auto"/>
        <w:ind w:left="420"/>
        <w:textAlignment w:val="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 xml:space="preserve">）在竞争性谈判采购过程中与采购人进行协商谈判、不按照竞争性谈判文件和成交人的谈判响应文件订立合同，或者与采购人另行订立背离合同实质性内容的协议； </w:t>
      </w:r>
    </w:p>
    <w:p>
      <w:pPr>
        <w:keepNext w:val="0"/>
        <w:keepLines w:val="0"/>
        <w:pageBreakBefore w:val="0"/>
        <w:kinsoku/>
        <w:wordWrap/>
        <w:overflowPunct/>
        <w:topLinePunct w:val="0"/>
        <w:autoSpaceDE/>
        <w:autoSpaceDN/>
        <w:bidi w:val="0"/>
        <w:adjustRightInd/>
        <w:snapToGrid/>
        <w:spacing w:line="360" w:lineRule="auto"/>
        <w:ind w:left="420"/>
        <w:textAlignment w:val="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）拒绝有关部门监督检查或者提供虚假情况的；</w:t>
      </w:r>
    </w:p>
    <w:p>
      <w:pPr>
        <w:keepNext w:val="0"/>
        <w:keepLines w:val="0"/>
        <w:pageBreakBefore w:val="0"/>
        <w:kinsoku/>
        <w:wordWrap/>
        <w:overflowPunct/>
        <w:topLinePunct w:val="0"/>
        <w:autoSpaceDE/>
        <w:autoSpaceDN/>
        <w:bidi w:val="0"/>
        <w:adjustRightInd/>
        <w:snapToGrid/>
        <w:spacing w:line="360" w:lineRule="auto"/>
        <w:ind w:left="420"/>
        <w:textAlignment w:val="auto"/>
        <w:rPr>
          <w:rFonts w:ascii="宋体" w:hAnsi="宋体" w:cs="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）受到</w:t>
      </w:r>
      <w:r>
        <w:rPr>
          <w:rFonts w:ascii="宋体" w:hAnsi="宋体"/>
          <w:color w:val="auto"/>
          <w:szCs w:val="21"/>
          <w:highlight w:val="none"/>
        </w:rPr>
        <w:t>财政部门依法</w:t>
      </w:r>
      <w:r>
        <w:rPr>
          <w:rFonts w:hint="eastAsia" w:ascii="宋体" w:hAnsi="宋体"/>
          <w:color w:val="auto"/>
          <w:szCs w:val="21"/>
          <w:highlight w:val="none"/>
        </w:rPr>
        <w:t>作出的</w:t>
      </w:r>
      <w:r>
        <w:rPr>
          <w:rFonts w:ascii="宋体" w:hAnsi="宋体"/>
          <w:color w:val="auto"/>
          <w:szCs w:val="21"/>
          <w:highlight w:val="none"/>
        </w:rPr>
        <w:t>禁止参加政府采购活动</w:t>
      </w:r>
      <w:r>
        <w:rPr>
          <w:rFonts w:hint="eastAsia" w:ascii="宋体" w:hAnsi="宋体"/>
          <w:color w:val="auto"/>
          <w:szCs w:val="21"/>
          <w:highlight w:val="none"/>
        </w:rPr>
        <w:t>且在有效期内的</w:t>
      </w:r>
      <w:r>
        <w:rPr>
          <w:rFonts w:ascii="宋体" w:hAnsi="宋体"/>
          <w:color w:val="auto"/>
          <w:szCs w:val="21"/>
          <w:highlight w:val="none"/>
        </w:rPr>
        <w:t>行政处罚</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spacing w:line="360" w:lineRule="auto"/>
        <w:ind w:left="420"/>
        <w:textAlignment w:val="auto"/>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4</w:t>
      </w:r>
      <w:r>
        <w:rPr>
          <w:rFonts w:hint="eastAsia" w:ascii="宋体" w:hAnsi="宋体"/>
          <w:color w:val="auto"/>
          <w:szCs w:val="21"/>
          <w:highlight w:val="none"/>
        </w:rPr>
        <w:t>）</w:t>
      </w:r>
      <w:r>
        <w:rPr>
          <w:rFonts w:hint="eastAsia" w:ascii="宋体" w:hAnsi="宋体"/>
          <w:color w:val="auto"/>
          <w:szCs w:val="21"/>
          <w:highlight w:val="none"/>
          <w:lang w:val="en-US" w:eastAsia="zh-CN"/>
        </w:rPr>
        <w:t>提供中小企业声明函内容不实的，属于提供虚假材料谋取中标、成交；</w:t>
      </w:r>
    </w:p>
    <w:p>
      <w:pPr>
        <w:keepNext w:val="0"/>
        <w:keepLines w:val="0"/>
        <w:pageBreakBefore w:val="0"/>
        <w:kinsoku/>
        <w:wordWrap/>
        <w:overflowPunct/>
        <w:topLinePunct w:val="0"/>
        <w:autoSpaceDE/>
        <w:autoSpaceDN/>
        <w:bidi w:val="0"/>
        <w:adjustRightInd/>
        <w:snapToGrid/>
        <w:spacing w:line="360" w:lineRule="auto"/>
        <w:ind w:left="420"/>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）法律、法规规定及竞争性谈判文件约定的其他情形。</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谈判响应人上述行为给采购人造成的损失，谈判响应人应当予以赔偿。</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17.2</w:t>
      </w:r>
      <w:r>
        <w:rPr>
          <w:rFonts w:hint="eastAsia" w:ascii="宋体" w:hAnsi="宋体"/>
          <w:color w:val="auto"/>
          <w:szCs w:val="21"/>
          <w:highlight w:val="none"/>
        </w:rPr>
        <w:t>有下列情形之一的，视为谈判响应人串通投标，其谈判响应无效：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（1）不同谈判响应人的谈判响应文件由同一单位或者个人编制；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（2）不同谈判响应人委托同一单位或者个人办理谈判响应事宜；</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（3）不同谈判响应人的谈判响应文件载明的项目管理成员或联系人员为同一人；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（4）不同谈判响应人的谈判响应文件异常一致或者谈判响应报价呈规律性差异；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（5）不同谈判响应人的谈判响应文件相互混装；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b/>
          <w:color w:val="auto"/>
          <w:szCs w:val="21"/>
          <w:highlight w:val="none"/>
        </w:rPr>
      </w:pPr>
      <w:r>
        <w:rPr>
          <w:rFonts w:hint="eastAsia" w:ascii="宋体" w:hAnsi="宋体" w:cs="宋体"/>
          <w:color w:val="auto"/>
          <w:szCs w:val="21"/>
          <w:highlight w:val="none"/>
          <w:lang w:val="en-US" w:eastAsia="zh-CN"/>
        </w:rPr>
        <w:t>17.3</w:t>
      </w:r>
      <w:r>
        <w:rPr>
          <w:rFonts w:hint="eastAsia" w:ascii="宋体" w:hAnsi="宋体" w:cs="宋体"/>
          <w:b/>
          <w:color w:val="auto"/>
          <w:szCs w:val="21"/>
          <w:highlight w:val="none"/>
        </w:rPr>
        <w:t>谈判响应人在本项目竞争性谈判过程中有下列行为之一的，成交无效，给采购人造成的损失，谈判响应人还应予以赔偿。构成犯罪的，依法追究刑事责任。</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（1）成交后无正当理由不与采购单位签订合同的；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rPr>
        <w:t>（2）</w:t>
      </w:r>
      <w:r>
        <w:rPr>
          <w:rFonts w:hint="eastAsia" w:ascii="宋体" w:hAnsi="宋体" w:cs="宋体"/>
          <w:color w:val="auto"/>
          <w:szCs w:val="21"/>
          <w:highlight w:val="none"/>
        </w:rPr>
        <w:t>在签订合同时向采购人提出附加条件，或者不按照竞争性谈判文件要求提交履约保证金的；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（3）将成交项目转让给他人、或在谈判响应文件中未说明，将成交项目分包给他人的；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szCs w:val="21"/>
          <w:highlight w:val="none"/>
        </w:rPr>
        <w:t>谈判响应人相互串通或者与采购人串通的；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（5）谈判响应人以向采购人或者谈判小组成员行贿的手段谋取成交的；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（6）谈判响应人以他人名义谈判响应或者以其他方式弄虚作假，骗取成交的；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（7）违法与采购人就价格、方案等实质性内容进行谈判，影响成交结果的；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color w:val="auto"/>
          <w:highlight w:val="none"/>
          <w:lang w:eastAsia="zh-CN"/>
        </w:rPr>
      </w:pPr>
      <w:r>
        <w:rPr>
          <w:rFonts w:hint="eastAsia" w:ascii="宋体" w:hAnsi="宋体" w:cs="宋体"/>
          <w:color w:val="auto"/>
          <w:szCs w:val="21"/>
          <w:highlight w:val="none"/>
        </w:rPr>
        <w:t>（8）法律、法规规定及竞争性谈判文件约定的其他情形</w:t>
      </w:r>
      <w:r>
        <w:rPr>
          <w:rFonts w:hint="eastAsia" w:ascii="宋体" w:hAnsi="宋体" w:eastAsia="宋体" w:cs="宋体"/>
          <w:b w:val="0"/>
          <w:bCs/>
          <w:color w:val="auto"/>
          <w:highlight w:val="none"/>
          <w:lang w:eastAsia="zh-CN"/>
        </w:rPr>
        <w:t>。</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w:t>
      </w:r>
      <w:r>
        <w:rPr>
          <w:rFonts w:hint="eastAsia" w:ascii="宋体" w:hAnsi="宋体" w:cs="宋体"/>
          <w:b/>
          <w:color w:val="auto"/>
          <w:szCs w:val="21"/>
          <w:highlight w:val="none"/>
          <w:lang w:eastAsia="zh-CN"/>
        </w:rPr>
        <w:t>谈判</w:t>
      </w:r>
      <w:r>
        <w:rPr>
          <w:rFonts w:hint="eastAsia" w:ascii="宋体" w:hAnsi="宋体" w:cs="宋体"/>
          <w:b/>
          <w:color w:val="auto"/>
          <w:szCs w:val="21"/>
          <w:highlight w:val="none"/>
        </w:rPr>
        <w:t>备选方案</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所提交的方案应满足</w:t>
      </w:r>
      <w:r>
        <w:rPr>
          <w:rFonts w:hint="eastAsia" w:ascii="宋体" w:hAnsi="宋体" w:cs="宋体"/>
          <w:color w:val="auto"/>
          <w:szCs w:val="21"/>
          <w:highlight w:val="none"/>
          <w:lang w:eastAsia="zh-CN"/>
        </w:rPr>
        <w:t>竞争性谈判文件</w:t>
      </w:r>
      <w:r>
        <w:rPr>
          <w:rFonts w:hint="eastAsia" w:ascii="宋体" w:hAnsi="宋体" w:cs="宋体"/>
          <w:color w:val="auto"/>
          <w:szCs w:val="21"/>
          <w:highlight w:val="none"/>
        </w:rPr>
        <w:t>的要求，除非本须知前附表中允许</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提交备选方案，否则备选方案将不予考虑。如果允许</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提交备选方案，则执行本须知第1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.2条规定。</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.2如果本须知前附表中允许</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提交备选方案，则</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除提交正式</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外，还应按照</w:t>
      </w:r>
      <w:r>
        <w:rPr>
          <w:rFonts w:hint="eastAsia" w:ascii="宋体" w:hAnsi="宋体" w:cs="宋体"/>
          <w:color w:val="auto"/>
          <w:szCs w:val="21"/>
          <w:highlight w:val="none"/>
          <w:lang w:eastAsia="zh-CN"/>
        </w:rPr>
        <w:t>竞争性谈判文件</w:t>
      </w:r>
      <w:r>
        <w:rPr>
          <w:rFonts w:hint="eastAsia" w:ascii="宋体" w:hAnsi="宋体" w:cs="宋体"/>
          <w:color w:val="auto"/>
          <w:szCs w:val="21"/>
          <w:highlight w:val="none"/>
        </w:rPr>
        <w:t>要求提交备选方案。备选方案应包括设计计算书、技术规范、备选方案报价书、所建议的施工方案等满足评审需要的全部资料。</w:t>
      </w:r>
    </w:p>
    <w:p>
      <w:pPr>
        <w:pStyle w:val="16"/>
        <w:pageBreakBefore w:val="0"/>
        <w:kinsoku/>
        <w:wordWrap/>
        <w:overflowPunct/>
        <w:topLinePunct w:val="0"/>
        <w:bidi w:val="0"/>
        <w:spacing w:beforeAutospacing="0" w:afterAutospacing="0" w:line="240" w:lineRule="auto"/>
        <w:ind w:firstLine="42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2"/>
          <w:sz w:val="21"/>
          <w:szCs w:val="21"/>
          <w:highlight w:val="none"/>
          <w:lang w:val="en-US" w:eastAsia="zh-CN" w:bidi="ar-SA"/>
        </w:rPr>
        <w:t>19．</w:t>
      </w:r>
      <w:r>
        <w:rPr>
          <w:rFonts w:hint="eastAsia" w:hAnsi="宋体" w:cs="宋体"/>
          <w:b/>
          <w:color w:val="auto"/>
          <w:kern w:val="2"/>
          <w:sz w:val="21"/>
          <w:szCs w:val="21"/>
          <w:highlight w:val="none"/>
          <w:lang w:val="en-US" w:eastAsia="zh-CN" w:bidi="ar-SA"/>
        </w:rPr>
        <w:t>谈判响应文件</w:t>
      </w:r>
      <w:r>
        <w:rPr>
          <w:rFonts w:hint="eastAsia" w:ascii="宋体" w:hAnsi="宋体" w:eastAsia="宋体" w:cs="宋体"/>
          <w:b/>
          <w:color w:val="auto"/>
          <w:kern w:val="2"/>
          <w:sz w:val="21"/>
          <w:szCs w:val="21"/>
          <w:highlight w:val="none"/>
          <w:lang w:val="en-US" w:eastAsia="zh-CN" w:bidi="ar-SA"/>
        </w:rPr>
        <w:t>的签署</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19</w:t>
      </w:r>
      <w:r>
        <w:rPr>
          <w:rFonts w:hint="eastAsia" w:ascii="宋体" w:hAnsi="宋体" w:cs="宋体"/>
          <w:color w:val="auto"/>
          <w:szCs w:val="21"/>
          <w:highlight w:val="none"/>
        </w:rPr>
        <w:t>.1</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应按本须知前附表规定的格式，编制并提交</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19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按照本须知第</w:t>
      </w:r>
      <w:r>
        <w:rPr>
          <w:rFonts w:hint="eastAsia" w:ascii="宋体" w:hAnsi="宋体" w:cs="宋体"/>
          <w:color w:val="auto"/>
          <w:szCs w:val="21"/>
          <w:highlight w:val="none"/>
          <w:lang w:eastAsia="zh-CN"/>
        </w:rPr>
        <w:t>19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条款规定对其</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相关内容签署盖章后，其</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所有内容均视为确认，对</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起约束作用。</w:t>
      </w:r>
    </w:p>
    <w:p>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19</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除</w:t>
      </w:r>
      <w:r>
        <w:rPr>
          <w:rFonts w:hint="eastAsia" w:ascii="宋体" w:hAnsi="宋体" w:cs="宋体"/>
          <w:color w:val="auto"/>
          <w:highlight w:val="none"/>
          <w:lang w:eastAsia="zh-CN"/>
        </w:rPr>
        <w:t>谈判响应人</w:t>
      </w:r>
      <w:r>
        <w:rPr>
          <w:rFonts w:hint="eastAsia" w:ascii="宋体" w:hAnsi="宋体" w:eastAsia="宋体" w:cs="宋体"/>
          <w:color w:val="auto"/>
          <w:highlight w:val="none"/>
        </w:rPr>
        <w:t>对错误处须修改外，全套</w:t>
      </w:r>
      <w:r>
        <w:rPr>
          <w:rFonts w:hint="eastAsia" w:ascii="宋体" w:hAnsi="宋体" w:cs="宋体"/>
          <w:color w:val="auto"/>
          <w:highlight w:val="none"/>
          <w:lang w:eastAsia="zh-CN"/>
        </w:rPr>
        <w:t>谈判响应文件</w:t>
      </w:r>
      <w:r>
        <w:rPr>
          <w:rFonts w:hint="eastAsia" w:ascii="宋体" w:hAnsi="宋体" w:eastAsia="宋体" w:cs="宋体"/>
          <w:color w:val="auto"/>
          <w:highlight w:val="none"/>
        </w:rPr>
        <w:t>应无涂改或行间插字和增删。如有修改，修改处应由</w:t>
      </w:r>
      <w:r>
        <w:rPr>
          <w:rFonts w:hint="eastAsia" w:ascii="宋体" w:hAnsi="宋体" w:cs="宋体"/>
          <w:color w:val="auto"/>
          <w:highlight w:val="none"/>
          <w:lang w:eastAsia="zh-CN"/>
        </w:rPr>
        <w:t>谈判响应人</w:t>
      </w:r>
      <w:r>
        <w:rPr>
          <w:rFonts w:hint="eastAsia" w:ascii="宋体" w:hAnsi="宋体" w:eastAsia="宋体" w:cs="宋体"/>
          <w:b/>
          <w:color w:val="auto"/>
          <w:highlight w:val="none"/>
        </w:rPr>
        <w:t>加盖</w:t>
      </w:r>
      <w:r>
        <w:rPr>
          <w:rFonts w:hint="eastAsia" w:ascii="宋体" w:hAnsi="宋体" w:cs="宋体"/>
          <w:b/>
          <w:color w:val="auto"/>
          <w:highlight w:val="none"/>
          <w:lang w:eastAsia="zh-CN"/>
        </w:rPr>
        <w:t>谈判响应人</w:t>
      </w:r>
      <w:r>
        <w:rPr>
          <w:rFonts w:hint="eastAsia" w:ascii="宋体" w:hAnsi="宋体" w:eastAsia="宋体" w:cs="宋体"/>
          <w:b/>
          <w:color w:val="auto"/>
          <w:highlight w:val="none"/>
        </w:rPr>
        <w:t>公章并经法定代表人或其委托代理人加盖印章</w:t>
      </w:r>
      <w:r>
        <w:rPr>
          <w:rFonts w:hint="eastAsia" w:ascii="宋体" w:hAnsi="宋体" w:eastAsia="宋体" w:cs="宋体"/>
          <w:color w:val="auto"/>
          <w:highlight w:val="none"/>
        </w:rPr>
        <w:t>。</w:t>
      </w:r>
      <w:r>
        <w:rPr>
          <w:rFonts w:hint="eastAsia" w:ascii="宋体" w:hAnsi="宋体" w:cs="宋体"/>
          <w:color w:val="auto"/>
          <w:highlight w:val="none"/>
          <w:lang w:eastAsia="zh-CN"/>
        </w:rPr>
        <w:t>谈判响应文件</w:t>
      </w:r>
      <w:r>
        <w:rPr>
          <w:rFonts w:hint="eastAsia" w:ascii="宋体" w:hAnsi="宋体" w:eastAsia="宋体" w:cs="宋体"/>
          <w:color w:val="auto"/>
          <w:highlight w:val="none"/>
        </w:rPr>
        <w:t>应尽量避免以涂改及行间插字方式进行修改，若</w:t>
      </w:r>
      <w:r>
        <w:rPr>
          <w:rFonts w:hint="eastAsia" w:ascii="宋体" w:hAnsi="宋体" w:cs="宋体"/>
          <w:color w:val="auto"/>
          <w:highlight w:val="none"/>
          <w:lang w:eastAsia="zh-CN"/>
        </w:rPr>
        <w:t>谈判响应文件</w:t>
      </w:r>
      <w:r>
        <w:rPr>
          <w:rFonts w:hint="eastAsia" w:ascii="宋体" w:hAnsi="宋体" w:eastAsia="宋体" w:cs="宋体"/>
          <w:color w:val="auto"/>
          <w:highlight w:val="none"/>
        </w:rPr>
        <w:t>存在涂改及行间插字，</w:t>
      </w:r>
      <w:r>
        <w:rPr>
          <w:rFonts w:hint="eastAsia" w:ascii="宋体" w:hAnsi="宋体" w:cs="宋体"/>
          <w:color w:val="auto"/>
          <w:highlight w:val="none"/>
          <w:lang w:eastAsia="zh-CN"/>
        </w:rPr>
        <w:t>采购人</w:t>
      </w:r>
      <w:r>
        <w:rPr>
          <w:rFonts w:hint="eastAsia" w:ascii="宋体" w:hAnsi="宋体" w:eastAsia="宋体" w:cs="宋体"/>
          <w:color w:val="auto"/>
          <w:highlight w:val="none"/>
        </w:rPr>
        <w:t>不承担任何可能因此而造成的辨识错误。</w:t>
      </w:r>
      <w:bookmarkStart w:id="56" w:name="_Toc24133"/>
      <w:bookmarkStart w:id="57" w:name="_Toc208106833"/>
      <w:bookmarkStart w:id="58" w:name="_Toc6708"/>
    </w:p>
    <w:p>
      <w:pPr>
        <w:widowControl/>
        <w:spacing w:line="360" w:lineRule="auto"/>
        <w:ind w:firstLine="420" w:firstLineChars="200"/>
        <w:jc w:val="left"/>
        <w:rPr>
          <w:rFonts w:hint="eastAsia"/>
        </w:rPr>
      </w:pPr>
      <w:r>
        <w:rPr>
          <w:rFonts w:hint="eastAsia" w:ascii="宋体" w:hAnsi="宋体" w:cs="宋体"/>
          <w:color w:val="auto"/>
          <w:szCs w:val="21"/>
          <w:highlight w:val="none"/>
          <w:lang w:val="en-US" w:eastAsia="zh-CN"/>
        </w:rPr>
        <w:t>19.4谈判响应文件封面、谈判响应函、最终报价表均应加盖谈判响应人公章并经法定代表人或委托代理人加盖印章或签字。由委托代理人参加谈判活动的在谈判响应文件中须同时提交法定代表人授权委托书。谈判响应文件封面、谈判响应函及最终报价表、法定代表人授权委托书的签字或盖章不符合谈判文件要求的，谈判小组可要求其法定代表人或其委托的委托代理人补齐签字或承诺在签订合同前按照谈判文件要求加盖印章。</w:t>
      </w:r>
    </w:p>
    <w:p>
      <w:pPr>
        <w:pStyle w:val="4"/>
        <w:pageBreakBefore w:val="0"/>
        <w:kinsoku/>
        <w:wordWrap/>
        <w:overflowPunct/>
        <w:topLinePunct w:val="0"/>
        <w:bidi w:val="0"/>
        <w:spacing w:before="0" w:beforeLines="0" w:beforeAutospacing="0" w:after="0" w:afterLines="0" w:afterAutospacing="0" w:line="240" w:lineRule="auto"/>
        <w:rPr>
          <w:rFonts w:hint="eastAsia" w:ascii="宋体" w:hAnsi="宋体" w:eastAsia="宋体" w:cs="宋体"/>
          <w:color w:val="auto"/>
          <w:sz w:val="32"/>
          <w:szCs w:val="32"/>
          <w:highlight w:val="none"/>
        </w:rPr>
      </w:pPr>
      <w:bookmarkStart w:id="59" w:name="_Toc17819"/>
      <w:r>
        <w:rPr>
          <w:rFonts w:hint="eastAsia" w:ascii="宋体" w:hAnsi="宋体" w:eastAsia="宋体" w:cs="宋体"/>
          <w:color w:val="auto"/>
          <w:sz w:val="32"/>
          <w:szCs w:val="32"/>
          <w:highlight w:val="none"/>
        </w:rPr>
        <w:t>（五）</w:t>
      </w:r>
      <w:r>
        <w:rPr>
          <w:rFonts w:hint="eastAsia" w:ascii="宋体" w:hAnsi="宋体" w:cs="宋体"/>
          <w:color w:val="auto"/>
          <w:sz w:val="32"/>
          <w:szCs w:val="32"/>
          <w:highlight w:val="none"/>
          <w:lang w:eastAsia="zh-CN"/>
        </w:rPr>
        <w:t>谈判响应文件</w:t>
      </w:r>
      <w:r>
        <w:rPr>
          <w:rFonts w:hint="eastAsia" w:ascii="宋体" w:hAnsi="宋体" w:eastAsia="宋体" w:cs="宋体"/>
          <w:color w:val="auto"/>
          <w:sz w:val="32"/>
          <w:szCs w:val="32"/>
          <w:highlight w:val="none"/>
        </w:rPr>
        <w:t>的提交</w:t>
      </w:r>
      <w:bookmarkEnd w:id="56"/>
      <w:bookmarkEnd w:id="57"/>
      <w:bookmarkEnd w:id="58"/>
      <w:bookmarkEnd w:id="59"/>
    </w:p>
    <w:p>
      <w:pPr>
        <w:pStyle w:val="16"/>
        <w:pageBreakBefore w:val="0"/>
        <w:kinsoku/>
        <w:wordWrap/>
        <w:overflowPunct/>
        <w:topLinePunct w:val="0"/>
        <w:bidi w:val="0"/>
        <w:spacing w:beforeAutospacing="0" w:afterAutospacing="0" w:line="240" w:lineRule="auto"/>
        <w:ind w:firstLine="422" w:firstLineChars="200"/>
        <w:rPr>
          <w:rFonts w:hint="default" w:ascii="宋体" w:hAnsi="宋体" w:eastAsia="宋体" w:cs="宋体"/>
          <w:b/>
          <w:strike w:val="0"/>
          <w:dstrike w:val="0"/>
          <w:color w:val="auto"/>
          <w:sz w:val="24"/>
          <w:szCs w:val="24"/>
          <w:highlight w:val="none"/>
          <w:lang w:val="en-US"/>
        </w:rPr>
      </w:pPr>
      <w:bookmarkStart w:id="60" w:name="_Toc208106834"/>
      <w:bookmarkStart w:id="61" w:name="_Toc200336335"/>
      <w:r>
        <w:rPr>
          <w:rFonts w:hint="eastAsia" w:ascii="宋体" w:hAnsi="宋体" w:eastAsia="宋体" w:cs="宋体"/>
          <w:b/>
          <w:color w:val="auto"/>
          <w:kern w:val="2"/>
          <w:sz w:val="21"/>
          <w:szCs w:val="21"/>
          <w:highlight w:val="none"/>
          <w:lang w:val="en-US" w:eastAsia="zh-CN" w:bidi="ar-SA"/>
        </w:rPr>
        <w:t>20．</w:t>
      </w:r>
      <w:r>
        <w:rPr>
          <w:rFonts w:hint="eastAsia" w:hAnsi="宋体" w:cs="宋体"/>
          <w:b/>
          <w:color w:val="auto"/>
          <w:kern w:val="2"/>
          <w:sz w:val="21"/>
          <w:szCs w:val="21"/>
          <w:highlight w:val="none"/>
          <w:lang w:val="en-US" w:eastAsia="zh-CN" w:bidi="ar-SA"/>
        </w:rPr>
        <w:t>谈判响应文件</w:t>
      </w:r>
      <w:r>
        <w:rPr>
          <w:rFonts w:hint="eastAsia" w:ascii="宋体" w:hAnsi="宋体" w:eastAsia="宋体" w:cs="宋体"/>
          <w:b/>
          <w:color w:val="auto"/>
          <w:kern w:val="2"/>
          <w:sz w:val="21"/>
          <w:szCs w:val="21"/>
          <w:highlight w:val="none"/>
          <w:lang w:val="en-US" w:eastAsia="zh-CN" w:bidi="ar-SA"/>
        </w:rPr>
        <w:t>的解密</w:t>
      </w:r>
    </w:p>
    <w:p>
      <w:pPr>
        <w:pStyle w:val="16"/>
        <w:pageBreakBefore w:val="0"/>
        <w:kinsoku/>
        <w:wordWrap/>
        <w:overflowPunct/>
        <w:topLinePunct w:val="0"/>
        <w:bidi w:val="0"/>
        <w:spacing w:beforeAutospacing="0" w:afterAutospacing="0"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各</w:t>
      </w:r>
      <w:r>
        <w:rPr>
          <w:rFonts w:hint="eastAsia" w:hAnsi="宋体" w:cs="宋体"/>
          <w:color w:val="auto"/>
          <w:kern w:val="2"/>
          <w:sz w:val="21"/>
          <w:szCs w:val="21"/>
          <w:highlight w:val="none"/>
          <w:lang w:val="en-US" w:eastAsia="zh-CN" w:bidi="ar-SA"/>
        </w:rPr>
        <w:t>谈判响应人</w:t>
      </w:r>
      <w:r>
        <w:rPr>
          <w:rFonts w:hint="eastAsia" w:ascii="宋体" w:hAnsi="宋体" w:eastAsia="宋体" w:cs="宋体"/>
          <w:color w:val="auto"/>
          <w:kern w:val="2"/>
          <w:sz w:val="21"/>
          <w:szCs w:val="21"/>
          <w:highlight w:val="none"/>
          <w:lang w:val="en-US" w:eastAsia="zh-CN" w:bidi="ar-SA"/>
        </w:rPr>
        <w:t>在解密开始时间（投标截止时间）后，60分钟内自行在网上系统完成投标文件的解密工作，因</w:t>
      </w:r>
      <w:r>
        <w:rPr>
          <w:rFonts w:hint="eastAsia" w:hAnsi="宋体" w:cs="宋体"/>
          <w:color w:val="auto"/>
          <w:kern w:val="2"/>
          <w:sz w:val="21"/>
          <w:szCs w:val="21"/>
          <w:highlight w:val="none"/>
          <w:lang w:val="en-US" w:eastAsia="zh-CN" w:bidi="ar-SA"/>
        </w:rPr>
        <w:t>谈判响应人</w:t>
      </w:r>
      <w:r>
        <w:rPr>
          <w:rFonts w:hint="eastAsia" w:ascii="宋体" w:hAnsi="宋体" w:eastAsia="宋体" w:cs="宋体"/>
          <w:color w:val="auto"/>
          <w:kern w:val="2"/>
          <w:sz w:val="21"/>
          <w:szCs w:val="21"/>
          <w:highlight w:val="none"/>
          <w:lang w:val="en-US" w:eastAsia="zh-CN" w:bidi="ar-SA"/>
        </w:rPr>
        <w:t>自身原因导致投标文件在规定时间内未能解密、解密失败或解密超时，投标文件无效；因网上系统发生故障或其他不可抗力情况，导致无法按时完成投标文件解密的，工作人员可延迟解密时间。</w:t>
      </w:r>
    </w:p>
    <w:p>
      <w:pPr>
        <w:pStyle w:val="16"/>
        <w:pageBreakBefore w:val="0"/>
        <w:kinsoku/>
        <w:wordWrap/>
        <w:overflowPunct/>
        <w:topLinePunct w:val="0"/>
        <w:bidi w:val="0"/>
        <w:spacing w:beforeAutospacing="0" w:afterAutospacing="0" w:line="240" w:lineRule="auto"/>
        <w:ind w:firstLine="422" w:firstLineChars="200"/>
        <w:rPr>
          <w:rFonts w:hint="eastAsia" w:ascii="宋体" w:hAnsi="宋体" w:eastAsia="宋体" w:cs="宋体"/>
          <w:b/>
          <w:strike w:val="0"/>
          <w:dstrike w:val="0"/>
          <w:color w:val="auto"/>
          <w:sz w:val="24"/>
          <w:szCs w:val="24"/>
          <w:highlight w:val="none"/>
        </w:rPr>
      </w:pPr>
      <w:r>
        <w:rPr>
          <w:rFonts w:hint="eastAsia" w:ascii="宋体" w:hAnsi="宋体" w:eastAsia="宋体" w:cs="宋体"/>
          <w:b/>
          <w:color w:val="auto"/>
          <w:kern w:val="2"/>
          <w:sz w:val="21"/>
          <w:szCs w:val="21"/>
          <w:highlight w:val="none"/>
          <w:lang w:val="en-US" w:eastAsia="zh-CN" w:bidi="ar-SA"/>
        </w:rPr>
        <w:t>21．</w:t>
      </w:r>
      <w:r>
        <w:rPr>
          <w:rFonts w:hint="eastAsia" w:hAnsi="宋体" w:cs="宋体"/>
          <w:b/>
          <w:color w:val="auto"/>
          <w:kern w:val="2"/>
          <w:sz w:val="21"/>
          <w:szCs w:val="21"/>
          <w:highlight w:val="none"/>
          <w:lang w:val="en-US" w:eastAsia="zh-CN" w:bidi="ar-SA"/>
        </w:rPr>
        <w:t>谈判响应文件</w:t>
      </w:r>
      <w:r>
        <w:rPr>
          <w:rFonts w:hint="eastAsia" w:ascii="宋体" w:hAnsi="宋体" w:eastAsia="宋体" w:cs="宋体"/>
          <w:b/>
          <w:color w:val="auto"/>
          <w:kern w:val="2"/>
          <w:sz w:val="21"/>
          <w:szCs w:val="21"/>
          <w:highlight w:val="none"/>
          <w:lang w:val="en-US" w:eastAsia="zh-CN" w:bidi="ar-SA"/>
        </w:rPr>
        <w:t>的澄清、修改、补充</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可按本须知第9、10条款规定以澄清、修改、补充的方式，酌情延长提交</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的截止时间。在此情况下，</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的所有权利和义务以及</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受制约的截止时间，均以延长后新的</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截止时间为准。</w:t>
      </w:r>
    </w:p>
    <w:p>
      <w:pPr>
        <w:pStyle w:val="16"/>
        <w:pageBreakBefore w:val="0"/>
        <w:kinsoku/>
        <w:wordWrap/>
        <w:overflowPunct/>
        <w:topLinePunct w:val="0"/>
        <w:bidi w:val="0"/>
        <w:spacing w:beforeAutospacing="0" w:afterAutospacing="0" w:line="240" w:lineRule="auto"/>
        <w:ind w:firstLine="42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2"/>
          <w:sz w:val="21"/>
          <w:szCs w:val="21"/>
          <w:highlight w:val="none"/>
          <w:lang w:val="en-US" w:eastAsia="zh-CN" w:bidi="ar-SA"/>
        </w:rPr>
        <w:t>22．迟交的</w:t>
      </w:r>
      <w:r>
        <w:rPr>
          <w:rFonts w:hint="eastAsia" w:hAnsi="宋体" w:cs="宋体"/>
          <w:b/>
          <w:color w:val="auto"/>
          <w:kern w:val="2"/>
          <w:sz w:val="21"/>
          <w:szCs w:val="21"/>
          <w:highlight w:val="none"/>
          <w:lang w:val="en-US" w:eastAsia="zh-CN" w:bidi="ar-SA"/>
        </w:rPr>
        <w:t>谈判响应文件</w:t>
      </w:r>
    </w:p>
    <w:p>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cs="宋体"/>
          <w:color w:val="auto"/>
          <w:highlight w:val="none"/>
          <w:lang w:eastAsia="zh-CN"/>
        </w:rPr>
        <w:t>采购人</w:t>
      </w:r>
      <w:r>
        <w:rPr>
          <w:rFonts w:hint="eastAsia" w:ascii="宋体" w:hAnsi="宋体" w:eastAsia="宋体" w:cs="宋体"/>
          <w:color w:val="auto"/>
          <w:highlight w:val="none"/>
        </w:rPr>
        <w:t>在本</w:t>
      </w:r>
      <w:r>
        <w:rPr>
          <w:rFonts w:hint="eastAsia" w:ascii="宋体" w:hAnsi="宋体" w:eastAsia="宋体" w:cs="宋体"/>
          <w:color w:val="auto"/>
          <w:highlight w:val="none"/>
          <w:lang w:eastAsia="zh-CN"/>
        </w:rPr>
        <w:t>须知</w:t>
      </w:r>
      <w:r>
        <w:rPr>
          <w:rFonts w:hint="eastAsia" w:ascii="宋体" w:hAnsi="宋体" w:eastAsia="宋体" w:cs="宋体"/>
          <w:color w:val="auto"/>
          <w:highlight w:val="none"/>
        </w:rPr>
        <w:t>前附表规定的</w:t>
      </w:r>
      <w:r>
        <w:rPr>
          <w:rFonts w:hint="eastAsia" w:ascii="宋体" w:hAnsi="宋体" w:cs="宋体"/>
          <w:color w:val="auto"/>
          <w:highlight w:val="none"/>
          <w:lang w:eastAsia="zh-CN"/>
        </w:rPr>
        <w:t>谈判</w:t>
      </w:r>
      <w:r>
        <w:rPr>
          <w:rFonts w:hint="eastAsia" w:ascii="宋体" w:hAnsi="宋体" w:eastAsia="宋体" w:cs="宋体"/>
          <w:color w:val="auto"/>
          <w:highlight w:val="none"/>
        </w:rPr>
        <w:t>截止时间以后收到的</w:t>
      </w:r>
      <w:r>
        <w:rPr>
          <w:rFonts w:hint="eastAsia" w:ascii="宋体" w:hAnsi="宋体" w:cs="宋体"/>
          <w:color w:val="auto"/>
          <w:highlight w:val="none"/>
          <w:lang w:eastAsia="zh-CN"/>
        </w:rPr>
        <w:t>谈判响应文件</w:t>
      </w:r>
      <w:r>
        <w:rPr>
          <w:rFonts w:hint="eastAsia" w:ascii="宋体" w:hAnsi="宋体" w:eastAsia="宋体" w:cs="宋体"/>
          <w:color w:val="auto"/>
          <w:highlight w:val="none"/>
        </w:rPr>
        <w:t>，将被拒绝并退回给</w:t>
      </w:r>
      <w:r>
        <w:rPr>
          <w:rFonts w:hint="eastAsia" w:ascii="宋体" w:hAnsi="宋体" w:cs="宋体"/>
          <w:color w:val="auto"/>
          <w:highlight w:val="none"/>
          <w:lang w:eastAsia="zh-CN"/>
        </w:rPr>
        <w:t>谈判响应人</w:t>
      </w:r>
      <w:r>
        <w:rPr>
          <w:rFonts w:hint="eastAsia" w:ascii="宋体" w:hAnsi="宋体" w:eastAsia="宋体" w:cs="宋体"/>
          <w:color w:val="auto"/>
          <w:highlight w:val="none"/>
        </w:rPr>
        <w:t>。</w:t>
      </w:r>
    </w:p>
    <w:p>
      <w:pPr>
        <w:pStyle w:val="16"/>
        <w:pageBreakBefore w:val="0"/>
        <w:kinsoku/>
        <w:wordWrap/>
        <w:overflowPunct/>
        <w:topLinePunct w:val="0"/>
        <w:bidi w:val="0"/>
        <w:spacing w:beforeAutospacing="0" w:afterAutospacing="0" w:line="240" w:lineRule="auto"/>
        <w:ind w:firstLine="42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2"/>
          <w:sz w:val="21"/>
          <w:szCs w:val="21"/>
          <w:highlight w:val="none"/>
          <w:lang w:val="en-US" w:eastAsia="zh-CN" w:bidi="ar-SA"/>
        </w:rPr>
        <w:t>23．</w:t>
      </w:r>
      <w:r>
        <w:rPr>
          <w:rFonts w:hint="eastAsia" w:hAnsi="宋体" w:cs="宋体"/>
          <w:b/>
          <w:color w:val="auto"/>
          <w:kern w:val="2"/>
          <w:sz w:val="21"/>
          <w:szCs w:val="21"/>
          <w:highlight w:val="none"/>
          <w:lang w:val="en-US" w:eastAsia="zh-CN" w:bidi="ar-SA"/>
        </w:rPr>
        <w:t>谈判响应文件</w:t>
      </w:r>
      <w:r>
        <w:rPr>
          <w:rFonts w:hint="eastAsia" w:ascii="宋体" w:hAnsi="宋体" w:eastAsia="宋体" w:cs="宋体"/>
          <w:b/>
          <w:color w:val="auto"/>
          <w:kern w:val="2"/>
          <w:sz w:val="21"/>
          <w:szCs w:val="21"/>
          <w:highlight w:val="none"/>
          <w:lang w:val="en-US" w:eastAsia="zh-CN" w:bidi="ar-SA"/>
        </w:rPr>
        <w:t>的补充、修改与撤回</w:t>
      </w:r>
    </w:p>
    <w:p>
      <w:pPr>
        <w:widowControl/>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.1</w:t>
      </w:r>
      <w:r>
        <w:rPr>
          <w:rFonts w:hint="eastAsia" w:ascii="宋体" w:hAnsi="宋体" w:cs="宋体"/>
          <w:color w:val="auto"/>
          <w:highlight w:val="none"/>
          <w:lang w:eastAsia="zh-CN"/>
        </w:rPr>
        <w:t>谈判响应人</w:t>
      </w:r>
      <w:r>
        <w:rPr>
          <w:rFonts w:hint="eastAsia" w:ascii="宋体" w:hAnsi="宋体" w:eastAsia="宋体" w:cs="宋体"/>
          <w:color w:val="auto"/>
          <w:highlight w:val="none"/>
        </w:rPr>
        <w:t>在提交</w:t>
      </w:r>
      <w:r>
        <w:rPr>
          <w:rFonts w:hint="eastAsia" w:ascii="宋体" w:hAnsi="宋体" w:cs="宋体"/>
          <w:color w:val="auto"/>
          <w:highlight w:val="none"/>
          <w:lang w:eastAsia="zh-CN"/>
        </w:rPr>
        <w:t>谈判响应文件</w:t>
      </w:r>
      <w:r>
        <w:rPr>
          <w:rFonts w:hint="eastAsia" w:ascii="宋体" w:hAnsi="宋体" w:eastAsia="宋体" w:cs="宋体"/>
          <w:color w:val="auto"/>
          <w:highlight w:val="none"/>
        </w:rPr>
        <w:t>以后，在规定的</w:t>
      </w:r>
      <w:r>
        <w:rPr>
          <w:rFonts w:hint="eastAsia" w:ascii="宋体" w:hAnsi="宋体" w:cs="宋体"/>
          <w:color w:val="auto"/>
          <w:highlight w:val="none"/>
          <w:lang w:eastAsia="zh-CN"/>
        </w:rPr>
        <w:t>谈判</w:t>
      </w:r>
      <w:r>
        <w:rPr>
          <w:rFonts w:hint="eastAsia" w:ascii="宋体" w:hAnsi="宋体" w:eastAsia="宋体" w:cs="宋体"/>
          <w:color w:val="auto"/>
          <w:highlight w:val="none"/>
        </w:rPr>
        <w:t>截止时间之前，可以补充、修改或撤回已提交的</w:t>
      </w:r>
      <w:r>
        <w:rPr>
          <w:rFonts w:hint="eastAsia" w:ascii="宋体" w:hAnsi="宋体" w:cs="宋体"/>
          <w:color w:val="auto"/>
          <w:highlight w:val="none"/>
          <w:lang w:eastAsia="zh-CN"/>
        </w:rPr>
        <w:t>谈判响应文件</w:t>
      </w:r>
      <w:r>
        <w:rPr>
          <w:rFonts w:hint="eastAsia" w:ascii="宋体" w:hAnsi="宋体" w:eastAsia="宋体" w:cs="宋体"/>
          <w:color w:val="auto"/>
          <w:highlight w:val="none"/>
          <w:lang w:eastAsia="zh-CN"/>
        </w:rPr>
        <w:t>。补充、修改</w:t>
      </w:r>
      <w:r>
        <w:rPr>
          <w:rFonts w:hint="eastAsia" w:ascii="宋体" w:hAnsi="宋体" w:cs="宋体"/>
          <w:color w:val="auto"/>
          <w:highlight w:val="none"/>
          <w:lang w:eastAsia="zh-CN"/>
        </w:rPr>
        <w:t>谈判响应文件</w:t>
      </w:r>
      <w:r>
        <w:rPr>
          <w:rFonts w:hint="eastAsia" w:ascii="宋体" w:hAnsi="宋体" w:eastAsia="宋体" w:cs="宋体"/>
          <w:color w:val="auto"/>
          <w:highlight w:val="none"/>
          <w:lang w:eastAsia="zh-CN"/>
        </w:rPr>
        <w:t>必须将上次提交的</w:t>
      </w:r>
      <w:r>
        <w:rPr>
          <w:rFonts w:hint="eastAsia" w:ascii="宋体" w:hAnsi="宋体" w:cs="宋体"/>
          <w:color w:val="auto"/>
          <w:highlight w:val="none"/>
          <w:lang w:eastAsia="zh-CN"/>
        </w:rPr>
        <w:t>谈判响应文件</w:t>
      </w:r>
      <w:r>
        <w:rPr>
          <w:rFonts w:hint="eastAsia" w:ascii="宋体" w:hAnsi="宋体" w:eastAsia="宋体" w:cs="宋体"/>
          <w:color w:val="auto"/>
          <w:highlight w:val="none"/>
          <w:lang w:eastAsia="zh-CN"/>
        </w:rPr>
        <w:t>撤回，补充、修改后在规定的</w:t>
      </w:r>
      <w:r>
        <w:rPr>
          <w:rFonts w:hint="eastAsia" w:ascii="宋体" w:hAnsi="宋体" w:cs="宋体"/>
          <w:color w:val="auto"/>
          <w:highlight w:val="none"/>
          <w:lang w:eastAsia="zh-CN"/>
        </w:rPr>
        <w:t>谈判</w:t>
      </w:r>
      <w:r>
        <w:rPr>
          <w:rFonts w:hint="eastAsia" w:ascii="宋体" w:hAnsi="宋体" w:eastAsia="宋体" w:cs="宋体"/>
          <w:color w:val="auto"/>
          <w:highlight w:val="none"/>
          <w:lang w:eastAsia="zh-CN"/>
        </w:rPr>
        <w:t>截止时间之前再次提交。</w:t>
      </w:r>
    </w:p>
    <w:p>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在</w:t>
      </w:r>
      <w:r>
        <w:rPr>
          <w:rFonts w:hint="eastAsia" w:ascii="宋体" w:hAnsi="宋体" w:cs="宋体"/>
          <w:color w:val="auto"/>
          <w:highlight w:val="none"/>
          <w:lang w:eastAsia="zh-CN"/>
        </w:rPr>
        <w:t>谈判</w:t>
      </w:r>
      <w:r>
        <w:rPr>
          <w:rFonts w:hint="eastAsia" w:ascii="宋体" w:hAnsi="宋体" w:eastAsia="宋体" w:cs="宋体"/>
          <w:color w:val="auto"/>
          <w:highlight w:val="none"/>
        </w:rPr>
        <w:t>截止时间之后，</w:t>
      </w:r>
      <w:r>
        <w:rPr>
          <w:rFonts w:hint="eastAsia" w:ascii="宋体" w:hAnsi="宋体" w:cs="宋体"/>
          <w:color w:val="auto"/>
          <w:highlight w:val="none"/>
          <w:lang w:eastAsia="zh-CN"/>
        </w:rPr>
        <w:t>谈判响应人</w:t>
      </w:r>
      <w:r>
        <w:rPr>
          <w:rFonts w:hint="eastAsia" w:ascii="宋体" w:hAnsi="宋体" w:eastAsia="宋体" w:cs="宋体"/>
          <w:color w:val="auto"/>
          <w:highlight w:val="none"/>
        </w:rPr>
        <w:t>不得补充、修改</w:t>
      </w:r>
      <w:r>
        <w:rPr>
          <w:rFonts w:hint="eastAsia" w:ascii="宋体" w:hAnsi="宋体" w:cs="宋体"/>
          <w:color w:val="auto"/>
          <w:highlight w:val="none"/>
          <w:lang w:eastAsia="zh-CN"/>
        </w:rPr>
        <w:t>谈判响应文件</w:t>
      </w:r>
      <w:r>
        <w:rPr>
          <w:rFonts w:hint="eastAsia" w:ascii="宋体" w:hAnsi="宋体" w:eastAsia="宋体" w:cs="宋体"/>
          <w:color w:val="auto"/>
          <w:highlight w:val="none"/>
        </w:rPr>
        <w:t>。</w:t>
      </w:r>
    </w:p>
    <w:p>
      <w:pPr>
        <w:pStyle w:val="4"/>
        <w:pageBreakBefore w:val="0"/>
        <w:kinsoku/>
        <w:wordWrap/>
        <w:overflowPunct/>
        <w:topLinePunct w:val="0"/>
        <w:bidi w:val="0"/>
        <w:spacing w:before="0" w:beforeLines="0" w:beforeAutospacing="0" w:after="0" w:afterLines="0" w:afterAutospacing="0" w:line="240" w:lineRule="auto"/>
        <w:rPr>
          <w:rFonts w:hint="eastAsia" w:ascii="宋体" w:hAnsi="宋体" w:eastAsia="宋体" w:cs="宋体"/>
          <w:color w:val="auto"/>
          <w:szCs w:val="21"/>
          <w:highlight w:val="none"/>
        </w:rPr>
      </w:pPr>
      <w:bookmarkStart w:id="62" w:name="_Toc13937"/>
      <w:bookmarkStart w:id="63" w:name="_Toc3671"/>
      <w:bookmarkStart w:id="64" w:name="_Toc18985"/>
      <w:r>
        <w:rPr>
          <w:rFonts w:hint="eastAsia" w:ascii="宋体" w:hAnsi="宋体" w:eastAsia="宋体" w:cs="宋体"/>
          <w:color w:val="auto"/>
          <w:sz w:val="32"/>
          <w:szCs w:val="32"/>
          <w:highlight w:val="none"/>
        </w:rPr>
        <w:t>（六）开标</w:t>
      </w:r>
      <w:bookmarkEnd w:id="60"/>
      <w:bookmarkEnd w:id="61"/>
      <w:bookmarkEnd w:id="62"/>
      <w:bookmarkEnd w:id="63"/>
      <w:bookmarkEnd w:id="64"/>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．开标</w:t>
      </w:r>
    </w:p>
    <w:p>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24.1</w:t>
      </w:r>
      <w:r>
        <w:rPr>
          <w:rFonts w:hint="eastAsia" w:ascii="宋体" w:hAnsi="宋体" w:cs="宋体"/>
          <w:b/>
          <w:bCs/>
          <w:color w:val="auto"/>
          <w:highlight w:val="none"/>
          <w:lang w:eastAsia="zh-CN"/>
        </w:rPr>
        <w:t>采购人</w:t>
      </w:r>
      <w:r>
        <w:rPr>
          <w:rFonts w:hint="eastAsia" w:ascii="宋体" w:hAnsi="宋体" w:eastAsia="宋体" w:cs="宋体"/>
          <w:b/>
          <w:bCs/>
          <w:color w:val="auto"/>
          <w:highlight w:val="none"/>
        </w:rPr>
        <w:t>按</w:t>
      </w:r>
      <w:r>
        <w:rPr>
          <w:rFonts w:hint="eastAsia" w:ascii="宋体" w:hAnsi="宋体" w:cs="宋体"/>
          <w:b/>
          <w:bCs/>
          <w:color w:val="auto"/>
          <w:highlight w:val="none"/>
          <w:lang w:eastAsia="zh-CN"/>
        </w:rPr>
        <w:t>竞争性谈判文件</w:t>
      </w:r>
      <w:r>
        <w:rPr>
          <w:rFonts w:hint="eastAsia" w:ascii="宋体" w:hAnsi="宋体" w:eastAsia="宋体" w:cs="宋体"/>
          <w:b/>
          <w:bCs/>
          <w:color w:val="auto"/>
          <w:highlight w:val="none"/>
        </w:rPr>
        <w:t>所规定的时间和地点公开开标。</w:t>
      </w:r>
    </w:p>
    <w:p>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24.</w:t>
      </w:r>
      <w:r>
        <w:rPr>
          <w:rFonts w:hint="eastAsia" w:ascii="宋体" w:hAnsi="宋体" w:cs="宋体"/>
          <w:b/>
          <w:bCs/>
          <w:color w:val="auto"/>
          <w:highlight w:val="none"/>
          <w:lang w:val="en-US" w:eastAsia="zh-CN"/>
        </w:rPr>
        <w:t>2</w:t>
      </w:r>
      <w:r>
        <w:rPr>
          <w:rFonts w:hint="eastAsia" w:ascii="宋体" w:hAnsi="宋体" w:eastAsia="宋体" w:cs="宋体"/>
          <w:b/>
          <w:bCs/>
          <w:color w:val="auto"/>
          <w:highlight w:val="none"/>
        </w:rPr>
        <w:t>开标由</w:t>
      </w:r>
      <w:r>
        <w:rPr>
          <w:rFonts w:hint="eastAsia" w:ascii="宋体" w:hAnsi="宋体" w:cs="宋体"/>
          <w:b/>
          <w:bCs/>
          <w:color w:val="auto"/>
          <w:highlight w:val="none"/>
          <w:lang w:eastAsia="zh-CN"/>
        </w:rPr>
        <w:t>采购人</w:t>
      </w:r>
      <w:r>
        <w:rPr>
          <w:rFonts w:hint="eastAsia" w:ascii="宋体" w:hAnsi="宋体" w:eastAsia="宋体" w:cs="宋体"/>
          <w:b/>
          <w:bCs/>
          <w:color w:val="auto"/>
          <w:highlight w:val="none"/>
        </w:rPr>
        <w:t>或</w:t>
      </w:r>
      <w:r>
        <w:rPr>
          <w:rFonts w:hint="eastAsia" w:ascii="宋体" w:hAnsi="宋体" w:eastAsia="宋体" w:cs="宋体"/>
          <w:b/>
          <w:bCs/>
          <w:color w:val="auto"/>
          <w:highlight w:val="none"/>
          <w:lang w:val="en-US" w:eastAsia="zh-CN"/>
        </w:rPr>
        <w:t>其</w:t>
      </w:r>
      <w:r>
        <w:rPr>
          <w:rFonts w:hint="eastAsia" w:ascii="宋体" w:hAnsi="宋体" w:eastAsia="宋体" w:cs="宋体"/>
          <w:b/>
          <w:bCs/>
          <w:color w:val="auto"/>
          <w:highlight w:val="none"/>
        </w:rPr>
        <w:t>代表主持，按下列程序进行：</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24.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1宣布项目名称、介绍参会人员；</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24.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2宣布开标纪律；</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24.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3由采购人代表查验谈判响应人获取谈判文件情况并宣布查验结果；   </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24.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各谈判响应人在提交响应文件截止时间后60分钟内自行在电子交易系统完成谈判响应文件的解密工作；</w:t>
      </w:r>
    </w:p>
    <w:p>
      <w:pPr>
        <w:widowControl/>
        <w:spacing w:line="50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采购单位解密；　</w:t>
      </w:r>
      <w:r>
        <w:rPr>
          <w:rFonts w:hint="eastAsia" w:ascii="宋体" w:hAnsi="宋体" w:cs="宋体"/>
          <w:color w:val="auto"/>
          <w:szCs w:val="21"/>
          <w:highlight w:val="none"/>
          <w:lang w:eastAsia="zh-CN"/>
        </w:rPr>
        <w:cr/>
      </w:r>
      <w:r>
        <w:rPr>
          <w:rFonts w:hint="eastAsia" w:ascii="宋体" w:hAnsi="宋体" w:cs="宋体"/>
          <w:color w:val="auto"/>
          <w:szCs w:val="21"/>
          <w:highlight w:val="none"/>
          <w:lang w:eastAsia="zh-CN"/>
        </w:rPr>
        <w:t xml:space="preserve">    24.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暂时休会，进入评审阶段；</w:t>
      </w:r>
    </w:p>
    <w:p>
      <w:pPr>
        <w:widowControl/>
        <w:spacing w:line="50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谈判小组与各个谈判响应人进行线上谈判；</w:t>
      </w:r>
    </w:p>
    <w:p>
      <w:pPr>
        <w:widowControl/>
        <w:spacing w:line="50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各个谈判响应人进行线上最终报价；</w:t>
      </w:r>
    </w:p>
    <w:p>
      <w:pPr>
        <w:widowControl/>
        <w:spacing w:line="50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 xml:space="preserve"> 复会，宣布评审结果。</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、谈判响应人必须对其谈判响应文件中所有资料的真实性负责。若发现谈判响应人有弄虚作假行为的，谈判响应无效并不予退还其谈判响应保证金，由相关管理部门按照竞争性谈判文件相应条款对其做相应处罚。</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谈判响应人应当在提交响应文件截止时间前完成谈判响应文件的传输提交，未在提交响应文件截止时间前通过安庆市公共资源交易服务网提交有效电子谈判响应文件的，系统不予接收，视为未提交谈判响应文件。</w:t>
      </w:r>
    </w:p>
    <w:p>
      <w:pPr>
        <w:widowControl/>
        <w:spacing w:line="500" w:lineRule="exact"/>
        <w:ind w:firstLine="420"/>
        <w:jc w:val="left"/>
        <w:rPr>
          <w:rFonts w:hint="eastAsia" w:hAnsi="宋体" w:eastAsia="宋体" w:cs="宋体"/>
          <w:b/>
          <w:bCs/>
          <w:color w:val="auto"/>
          <w:highlight w:val="none"/>
          <w:lang w:val="en-US" w:eastAsia="zh-CN"/>
        </w:rPr>
      </w:pPr>
    </w:p>
    <w:p>
      <w:pPr>
        <w:pStyle w:val="4"/>
        <w:pageBreakBefore w:val="0"/>
        <w:numPr>
          <w:ilvl w:val="0"/>
          <w:numId w:val="6"/>
        </w:numPr>
        <w:kinsoku/>
        <w:wordWrap/>
        <w:overflowPunct/>
        <w:topLinePunct w:val="0"/>
        <w:bidi w:val="0"/>
        <w:spacing w:before="0" w:beforeLines="0" w:beforeAutospacing="0" w:after="0" w:afterLines="0" w:afterAutospacing="0" w:line="240" w:lineRule="auto"/>
        <w:rPr>
          <w:rFonts w:hint="eastAsia" w:ascii="宋体" w:hAnsi="宋体" w:eastAsia="宋体" w:cs="宋体"/>
          <w:b/>
          <w:color w:val="auto"/>
          <w:kern w:val="10"/>
          <w:sz w:val="30"/>
          <w:szCs w:val="30"/>
          <w:highlight w:val="none"/>
        </w:rPr>
      </w:pPr>
      <w:bookmarkStart w:id="65" w:name="_Toc14164"/>
      <w:bookmarkStart w:id="66" w:name="_Toc23569"/>
      <w:bookmarkStart w:id="67" w:name="_Toc22688"/>
      <w:r>
        <w:rPr>
          <w:rFonts w:hint="eastAsia" w:ascii="宋体" w:hAnsi="宋体" w:cs="宋体"/>
          <w:color w:val="auto"/>
          <w:sz w:val="32"/>
          <w:szCs w:val="32"/>
          <w:highlight w:val="none"/>
          <w:lang w:eastAsia="zh-CN"/>
        </w:rPr>
        <w:t>谈判</w:t>
      </w:r>
      <w:r>
        <w:rPr>
          <w:rFonts w:hint="eastAsia" w:ascii="宋体" w:hAnsi="宋体" w:eastAsia="宋体" w:cs="宋体"/>
          <w:color w:val="auto"/>
          <w:sz w:val="32"/>
          <w:szCs w:val="32"/>
          <w:highlight w:val="none"/>
        </w:rPr>
        <w:t>、</w:t>
      </w:r>
      <w:bookmarkEnd w:id="65"/>
      <w:bookmarkEnd w:id="66"/>
      <w:r>
        <w:rPr>
          <w:rFonts w:hint="eastAsia" w:ascii="宋体" w:hAnsi="宋体" w:cs="宋体"/>
          <w:color w:val="auto"/>
          <w:sz w:val="32"/>
          <w:szCs w:val="32"/>
          <w:highlight w:val="none"/>
          <w:lang w:eastAsia="zh-CN"/>
        </w:rPr>
        <w:t>成交</w:t>
      </w:r>
      <w:bookmarkEnd w:id="67"/>
    </w:p>
    <w:p>
      <w:pPr>
        <w:pStyle w:val="16"/>
        <w:keepNext w:val="0"/>
        <w:keepLines w:val="0"/>
        <w:pageBreakBefore w:val="0"/>
        <w:tabs>
          <w:tab w:val="center" w:pos="4691"/>
        </w:tabs>
        <w:kinsoku/>
        <w:wordWrap/>
        <w:overflowPunct/>
        <w:topLinePunct w:val="0"/>
        <w:autoSpaceDE/>
        <w:autoSpaceDN/>
        <w:bidi w:val="0"/>
        <w:spacing w:line="240" w:lineRule="auto"/>
        <w:ind w:left="0" w:leftChars="0" w:firstLine="422" w:firstLineChars="200"/>
        <w:textAlignment w:val="auto"/>
        <w:outlineLvl w:val="9"/>
        <w:rPr>
          <w:rFonts w:hint="eastAsia" w:ascii="宋体" w:hAnsi="宋体" w:cs="宋体"/>
          <w:color w:val="auto"/>
          <w:szCs w:val="21"/>
          <w:highlight w:val="none"/>
          <w:lang w:val="en-US" w:eastAsia="zh-CN"/>
        </w:rPr>
      </w:pPr>
      <w:r>
        <w:rPr>
          <w:rFonts w:hint="eastAsia" w:ascii="宋体" w:hAnsi="宋体" w:eastAsia="宋体" w:cs="宋体"/>
          <w:b/>
          <w:color w:val="auto"/>
          <w:kern w:val="2"/>
          <w:sz w:val="21"/>
          <w:szCs w:val="21"/>
          <w:highlight w:val="none"/>
          <w:lang w:val="en-US" w:eastAsia="zh-CN" w:bidi="ar-SA"/>
        </w:rPr>
        <w:t>2</w:t>
      </w:r>
      <w:r>
        <w:rPr>
          <w:rFonts w:hint="eastAsia" w:hAnsi="宋体" w:cs="宋体"/>
          <w:b/>
          <w:color w:val="auto"/>
          <w:kern w:val="2"/>
          <w:sz w:val="21"/>
          <w:szCs w:val="21"/>
          <w:highlight w:val="none"/>
          <w:lang w:val="en-US" w:eastAsia="zh-CN" w:bidi="ar-SA"/>
        </w:rPr>
        <w:t>5</w:t>
      </w:r>
      <w:r>
        <w:rPr>
          <w:rFonts w:hint="eastAsia" w:ascii="宋体" w:hAnsi="宋体" w:eastAsia="宋体" w:cs="宋体"/>
          <w:b/>
          <w:color w:val="auto"/>
          <w:kern w:val="2"/>
          <w:sz w:val="21"/>
          <w:szCs w:val="21"/>
          <w:highlight w:val="none"/>
          <w:lang w:val="en-US" w:eastAsia="zh-CN" w:bidi="ar-SA"/>
        </w:rPr>
        <w:t>、</w:t>
      </w:r>
      <w:r>
        <w:rPr>
          <w:rFonts w:hint="eastAsia" w:hAnsi="宋体" w:cs="宋体"/>
          <w:b/>
          <w:color w:val="auto"/>
          <w:kern w:val="2"/>
          <w:sz w:val="21"/>
          <w:szCs w:val="21"/>
          <w:highlight w:val="none"/>
          <w:lang w:val="en-US" w:eastAsia="zh-CN" w:bidi="ar-SA"/>
        </w:rPr>
        <w:t>谈判办法</w:t>
      </w:r>
    </w:p>
    <w:p>
      <w:pPr>
        <w:widowControl/>
        <w:spacing w:line="360" w:lineRule="auto"/>
        <w:ind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Cs w:val="21"/>
          <w:highlight w:val="none"/>
          <w:lang w:val="en-US" w:eastAsia="zh-CN"/>
        </w:rPr>
        <w:t xml:space="preserve"> 本次</w:t>
      </w:r>
      <w:r>
        <w:rPr>
          <w:rFonts w:hint="eastAsia" w:hAnsi="宋体"/>
          <w:color w:val="auto"/>
          <w:szCs w:val="21"/>
          <w:highlight w:val="none"/>
          <w:lang w:val="en-US" w:eastAsia="zh-CN"/>
        </w:rPr>
        <w:t>谈判采用经评审的有效最低价办法，依据谈判标准及程序向采购人推荐1～3名成交候选人。首轮总报价应低于最高谈判限价。在首轮总报价的基础上，谈判小组根据竞争性谈判文件对谈判响应文件进行资格审查和初步评审、商务标评审及技术标评审，对通过资格审查和初步评审、商务标评审及技术标评审的谈判响应人进行多轮报价。</w:t>
      </w:r>
      <w:r>
        <w:rPr>
          <w:rFonts w:hint="eastAsia" w:hAnsi="宋体"/>
          <w:b/>
          <w:bCs/>
          <w:color w:val="auto"/>
          <w:szCs w:val="21"/>
          <w:highlight w:val="none"/>
          <w:lang w:val="en-US" w:eastAsia="zh-CN"/>
        </w:rPr>
        <w:t>谈判响应人的每一轮总报价应低于或等于上一次总报价。在终轮总报价后，以经计算的信用评审价最低的为第一成交候选人，次低的为第二成交候选人，排名第三的为第三成交候选人。</w:t>
      </w:r>
      <w:r>
        <w:rPr>
          <w:rFonts w:hint="eastAsia" w:ascii="宋体" w:hAnsi="宋体" w:eastAsia="宋体" w:cs="宋体"/>
          <w:b/>
          <w:bCs/>
          <w:color w:val="auto"/>
          <w:kern w:val="2"/>
          <w:sz w:val="21"/>
          <w:szCs w:val="21"/>
          <w:highlight w:val="none"/>
          <w:lang w:val="en-US" w:eastAsia="zh-CN" w:bidi="ar"/>
        </w:rPr>
        <w:t>若出现两家或两家以上评审价最低且相等时，则由采购人采取现场随机抽取的方式确定成交候选人排序。</w:t>
      </w:r>
    </w:p>
    <w:p>
      <w:pPr>
        <w:widowControl/>
        <w:spacing w:line="360" w:lineRule="auto"/>
        <w:ind w:firstLine="420" w:firstLineChars="200"/>
        <w:jc w:val="left"/>
        <w:rPr>
          <w:rFonts w:hint="eastAsia" w:hAnsi="宋体"/>
          <w:color w:val="auto"/>
          <w:szCs w:val="21"/>
          <w:highlight w:val="none"/>
          <w:lang w:val="en-US" w:eastAsia="zh-CN"/>
        </w:rPr>
      </w:pPr>
      <w:r>
        <w:rPr>
          <w:rFonts w:hint="eastAsia" w:hAnsi="宋体"/>
          <w:color w:val="auto"/>
          <w:szCs w:val="21"/>
          <w:highlight w:val="none"/>
          <w:lang w:val="en-US" w:eastAsia="zh-CN"/>
        </w:rPr>
        <w:t>多轮总报价的最后一轮的确定条件：谈判小组可以根据谈判报价是否达到预期价格，决定下一轮报价是否为最终谈判报价，最后一轮谈判须预先告知所有谈判响应人。谈判响应人据此做出最终总报价。谈判响应人需在谈判小组要求的时间内进行报价。</w:t>
      </w:r>
    </w:p>
    <w:p>
      <w:pPr>
        <w:widowControl/>
        <w:spacing w:line="360" w:lineRule="auto"/>
        <w:ind w:firstLine="420" w:firstLineChars="200"/>
        <w:jc w:val="left"/>
        <w:rPr>
          <w:rFonts w:hint="eastAsia" w:hAnsi="宋体"/>
          <w:color w:val="auto"/>
          <w:szCs w:val="21"/>
          <w:highlight w:val="none"/>
          <w:lang w:val="en-US" w:eastAsia="zh-CN"/>
        </w:rPr>
      </w:pPr>
      <w:r>
        <w:rPr>
          <w:rFonts w:hint="eastAsia" w:hAnsi="宋体"/>
          <w:color w:val="auto"/>
          <w:szCs w:val="21"/>
          <w:highlight w:val="none"/>
          <w:lang w:val="en-US" w:eastAsia="zh-CN"/>
        </w:rPr>
        <w:t>谈判小组认为谈判响应人的最终报价低于成本价的，有权否决其报价。</w:t>
      </w:r>
    </w:p>
    <w:p>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w:t>
      </w:r>
      <w:r>
        <w:rPr>
          <w:rFonts w:hint="eastAsia" w:ascii="宋体" w:hAnsi="宋体" w:cs="宋体"/>
          <w:b/>
          <w:color w:val="auto"/>
          <w:szCs w:val="21"/>
          <w:highlight w:val="none"/>
          <w:lang w:eastAsia="zh-CN"/>
        </w:rPr>
        <w:t>谈判小组</w:t>
      </w:r>
      <w:r>
        <w:rPr>
          <w:rFonts w:hint="eastAsia" w:ascii="宋体" w:hAnsi="宋体" w:cs="宋体"/>
          <w:b/>
          <w:color w:val="auto"/>
          <w:szCs w:val="21"/>
          <w:highlight w:val="none"/>
        </w:rPr>
        <w:t>与</w:t>
      </w:r>
      <w:r>
        <w:rPr>
          <w:rFonts w:hint="eastAsia" w:ascii="宋体" w:hAnsi="宋体" w:cs="宋体"/>
          <w:b/>
          <w:color w:val="auto"/>
          <w:szCs w:val="21"/>
          <w:highlight w:val="none"/>
          <w:lang w:eastAsia="zh-CN"/>
        </w:rPr>
        <w:t>谈判</w:t>
      </w:r>
    </w:p>
    <w:p>
      <w:pPr>
        <w:widowControl/>
        <w:spacing w:line="360" w:lineRule="auto"/>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cs="Times New Roman"/>
          <w:color w:val="auto"/>
          <w:highlight w:val="none"/>
          <w:lang w:val="en-US" w:eastAsia="zh-CN"/>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谈判小组依法组建，其中采购人代表1人。采购人代表不得担任谈判小组组长。评审由谈判小组进行，谈判小组应坚持公正、公平、诚实守信、实事求是、独立评审的原则。</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 开标结束后，开始</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采用保密方式进行。</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 本工程</w:t>
      </w:r>
      <w:r>
        <w:rPr>
          <w:rFonts w:hint="eastAsia" w:ascii="宋体" w:hAnsi="宋体" w:cs="宋体"/>
          <w:color w:val="auto"/>
          <w:szCs w:val="21"/>
          <w:highlight w:val="none"/>
          <w:lang w:eastAsia="zh-CN"/>
        </w:rPr>
        <w:t>谈判成交</w:t>
      </w:r>
      <w:r>
        <w:rPr>
          <w:rFonts w:hint="eastAsia" w:ascii="宋体" w:hAnsi="宋体" w:cs="宋体"/>
          <w:color w:val="auto"/>
          <w:szCs w:val="21"/>
          <w:highlight w:val="none"/>
        </w:rPr>
        <w:t>程序、标准、方法详见本须知第</w:t>
      </w:r>
      <w:r>
        <w:rPr>
          <w:rFonts w:hint="eastAsia" w:ascii="宋体" w:hAnsi="宋体" w:cs="宋体"/>
          <w:color w:val="auto"/>
          <w:szCs w:val="21"/>
          <w:highlight w:val="none"/>
          <w:lang w:val="en-US" w:eastAsia="zh-CN"/>
        </w:rPr>
        <w:t>32</w:t>
      </w:r>
      <w:r>
        <w:rPr>
          <w:rFonts w:hint="eastAsia" w:ascii="宋体" w:hAnsi="宋体" w:cs="宋体"/>
          <w:color w:val="auto"/>
          <w:szCs w:val="21"/>
          <w:highlight w:val="none"/>
        </w:rPr>
        <w:t>条规定。</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w:t>
      </w:r>
      <w:r>
        <w:rPr>
          <w:rFonts w:hint="eastAsia" w:ascii="宋体" w:hAnsi="宋体" w:cs="宋体"/>
          <w:b/>
          <w:color w:val="auto"/>
          <w:szCs w:val="21"/>
          <w:highlight w:val="none"/>
          <w:lang w:eastAsia="zh-CN"/>
        </w:rPr>
        <w:t>谈判</w:t>
      </w:r>
      <w:r>
        <w:rPr>
          <w:rFonts w:hint="eastAsia" w:ascii="宋体" w:hAnsi="宋体" w:cs="宋体"/>
          <w:b/>
          <w:color w:val="auto"/>
          <w:szCs w:val="21"/>
          <w:highlight w:val="none"/>
        </w:rPr>
        <w:t>过程的保密</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.1开标后，直至授予</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人合同为止，凡属于对</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的审查、澄清、评价和比较的有关资料以及</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的推荐情况，与</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有关的其他任何情况均严格保密。</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 在</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的评审和比较、</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推荐以及授予合同的过程中，</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和</w:t>
      </w:r>
      <w:r>
        <w:rPr>
          <w:rFonts w:hint="eastAsia" w:ascii="宋体" w:hAnsi="宋体" w:cs="宋体"/>
          <w:color w:val="auto"/>
          <w:szCs w:val="21"/>
          <w:highlight w:val="none"/>
          <w:lang w:eastAsia="zh-CN"/>
        </w:rPr>
        <w:t>谈判小组</w:t>
      </w:r>
      <w:r>
        <w:rPr>
          <w:rFonts w:hint="eastAsia" w:ascii="宋体" w:hAnsi="宋体" w:cs="宋体"/>
          <w:color w:val="auto"/>
          <w:szCs w:val="21"/>
          <w:highlight w:val="none"/>
        </w:rPr>
        <w:t>施加影响的任何行为，都将会导致其</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被拒绝。</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.3</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人确定后，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不对未</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人就</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过程以及未能</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原因作出任何解释。未</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人不得向</w:t>
      </w:r>
      <w:r>
        <w:rPr>
          <w:rFonts w:hint="eastAsia" w:ascii="宋体" w:hAnsi="宋体" w:cs="宋体"/>
          <w:color w:val="auto"/>
          <w:szCs w:val="21"/>
          <w:highlight w:val="none"/>
          <w:lang w:eastAsia="zh-CN"/>
        </w:rPr>
        <w:t>谈判小组</w:t>
      </w:r>
      <w:r>
        <w:rPr>
          <w:rFonts w:hint="eastAsia" w:ascii="宋体" w:hAnsi="宋体" w:cs="宋体"/>
          <w:color w:val="auto"/>
          <w:szCs w:val="21"/>
          <w:highlight w:val="none"/>
        </w:rPr>
        <w:t>组成人员或其他有关人员索问</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过程的情况和材料。</w:t>
      </w:r>
    </w:p>
    <w:p>
      <w:pPr>
        <w:pStyle w:val="16"/>
        <w:keepNext w:val="0"/>
        <w:keepLines w:val="0"/>
        <w:pageBreakBefore w:val="0"/>
        <w:kinsoku/>
        <w:wordWrap/>
        <w:overflowPunct/>
        <w:topLinePunct w:val="0"/>
        <w:autoSpaceDE/>
        <w:autoSpaceDN/>
        <w:bidi w:val="0"/>
        <w:spacing w:line="240" w:lineRule="auto"/>
        <w:ind w:left="0" w:leftChars="0" w:firstLine="422" w:firstLineChars="200"/>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2</w:t>
      </w:r>
      <w:r>
        <w:rPr>
          <w:rFonts w:hint="eastAsia" w:hAnsi="宋体" w:cs="宋体"/>
          <w:b/>
          <w:color w:val="auto"/>
          <w:kern w:val="2"/>
          <w:sz w:val="21"/>
          <w:szCs w:val="21"/>
          <w:highlight w:val="none"/>
          <w:lang w:val="en-US" w:eastAsia="zh-CN" w:bidi="ar-SA"/>
        </w:rPr>
        <w:t>8</w:t>
      </w:r>
      <w:r>
        <w:rPr>
          <w:rFonts w:hint="eastAsia" w:ascii="宋体" w:hAnsi="宋体" w:eastAsia="宋体" w:cs="宋体"/>
          <w:b/>
          <w:color w:val="auto"/>
          <w:kern w:val="2"/>
          <w:sz w:val="21"/>
          <w:szCs w:val="21"/>
          <w:highlight w:val="none"/>
          <w:lang w:val="en-US" w:eastAsia="zh-CN" w:bidi="ar-SA"/>
        </w:rPr>
        <w:t>、</w:t>
      </w:r>
      <w:r>
        <w:rPr>
          <w:rFonts w:hint="eastAsia" w:hAnsi="宋体" w:cs="宋体"/>
          <w:b/>
          <w:color w:val="auto"/>
          <w:kern w:val="2"/>
          <w:sz w:val="21"/>
          <w:szCs w:val="21"/>
          <w:highlight w:val="none"/>
          <w:lang w:val="en-US" w:eastAsia="zh-CN" w:bidi="ar-SA"/>
        </w:rPr>
        <w:t>谈判响应文件</w:t>
      </w:r>
      <w:r>
        <w:rPr>
          <w:rFonts w:hint="eastAsia" w:ascii="宋体" w:hAnsi="宋体" w:eastAsia="宋体" w:cs="宋体"/>
          <w:b/>
          <w:color w:val="auto"/>
          <w:kern w:val="2"/>
          <w:sz w:val="21"/>
          <w:szCs w:val="21"/>
          <w:highlight w:val="none"/>
          <w:lang w:val="en-US" w:eastAsia="zh-CN" w:bidi="ar-SA"/>
        </w:rPr>
        <w:t>的澄清</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 在评审期间，谈判小组可以通过电子交易系统对谈判响应人进行询标。针对谈判响应文件中含义不明确、对同类问题表述不一致或者有明显文字和计算错误的内容，谈判小组可要求谈判响应人在30分钟内通过系统进行澄清、说明或者补正，并提供相关材料。澄清文件将作为谈判响应文件内容的一部分。</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 有下列情形之一的，在</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时，</w:t>
      </w:r>
      <w:r>
        <w:rPr>
          <w:rFonts w:hint="eastAsia" w:ascii="宋体" w:hAnsi="宋体" w:cs="宋体"/>
          <w:color w:val="auto"/>
          <w:szCs w:val="21"/>
          <w:highlight w:val="none"/>
          <w:lang w:eastAsia="zh-CN"/>
        </w:rPr>
        <w:t>谈判小组</w:t>
      </w:r>
      <w:r>
        <w:rPr>
          <w:rFonts w:hint="eastAsia" w:ascii="宋体" w:hAnsi="宋体" w:cs="宋体"/>
          <w:color w:val="auto"/>
          <w:szCs w:val="21"/>
          <w:highlight w:val="none"/>
        </w:rPr>
        <w:t>可以要求</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作出说明并提供相关材料：</w:t>
      </w:r>
      <w:r>
        <w:rPr>
          <w:rFonts w:hint="eastAsia" w:ascii="宋体" w:hAnsi="宋体" w:cs="宋体"/>
          <w:color w:val="auto"/>
          <w:szCs w:val="21"/>
          <w:highlight w:val="none"/>
          <w:lang w:eastAsia="zh-CN"/>
        </w:rPr>
        <w:t>①谈判报价与最高谈判限价相比降幅过低</w:t>
      </w:r>
      <w:r>
        <w:rPr>
          <w:rFonts w:hint="eastAsia" w:ascii="宋体" w:hAnsi="宋体" w:cs="宋体"/>
          <w:color w:val="auto"/>
          <w:szCs w:val="21"/>
          <w:highlight w:val="none"/>
        </w:rPr>
        <w:t>的</w:t>
      </w:r>
      <w:r>
        <w:rPr>
          <w:rFonts w:hint="eastAsia" w:ascii="宋体" w:hAnsi="宋体" w:cs="宋体"/>
          <w:color w:val="auto"/>
          <w:szCs w:val="21"/>
          <w:highlight w:val="none"/>
          <w:lang w:eastAsia="zh-CN"/>
        </w:rPr>
        <w:t>；②</w:t>
      </w:r>
      <w:r>
        <w:rPr>
          <w:rFonts w:hint="eastAsia" w:ascii="宋体" w:hAnsi="宋体" w:cs="宋体"/>
          <w:color w:val="auto"/>
          <w:szCs w:val="21"/>
          <w:highlight w:val="none"/>
        </w:rPr>
        <w:t>经</w:t>
      </w:r>
      <w:r>
        <w:rPr>
          <w:rFonts w:hint="eastAsia" w:ascii="宋体" w:hAnsi="宋体" w:cs="宋体"/>
          <w:color w:val="auto"/>
          <w:szCs w:val="21"/>
          <w:highlight w:val="none"/>
          <w:lang w:eastAsia="zh-CN"/>
        </w:rPr>
        <w:t>谈判小组评审</w:t>
      </w:r>
      <w:r>
        <w:rPr>
          <w:rFonts w:hint="eastAsia" w:ascii="宋体" w:hAnsi="宋体" w:cs="宋体"/>
          <w:color w:val="auto"/>
          <w:szCs w:val="21"/>
          <w:highlight w:val="none"/>
        </w:rPr>
        <w:t>，</w:t>
      </w:r>
      <w:r>
        <w:rPr>
          <w:rFonts w:hint="eastAsia" w:ascii="宋体" w:hAnsi="宋体" w:cs="宋体"/>
          <w:color w:val="auto"/>
          <w:szCs w:val="21"/>
          <w:highlight w:val="none"/>
          <w:lang w:eastAsia="zh-CN"/>
        </w:rPr>
        <w:t>认为</w:t>
      </w:r>
      <w:r>
        <w:rPr>
          <w:rFonts w:hint="eastAsia" w:ascii="宋体" w:hAnsi="宋体" w:cs="宋体"/>
          <w:color w:val="auto"/>
          <w:szCs w:val="21"/>
          <w:highlight w:val="none"/>
        </w:rPr>
        <w:t>该</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的报价低于其企业成本的。</w:t>
      </w:r>
    </w:p>
    <w:p>
      <w:pPr>
        <w:pStyle w:val="16"/>
        <w:keepNext w:val="0"/>
        <w:keepLines w:val="0"/>
        <w:pageBreakBefore w:val="0"/>
        <w:kinsoku/>
        <w:wordWrap/>
        <w:overflowPunct/>
        <w:topLinePunct w:val="0"/>
        <w:autoSpaceDE/>
        <w:autoSpaceDN/>
        <w:bidi w:val="0"/>
        <w:spacing w:line="240" w:lineRule="auto"/>
        <w:ind w:left="0" w:leftChars="0" w:firstLine="422" w:firstLineChars="200"/>
        <w:textAlignment w:val="auto"/>
        <w:outlineLvl w:val="9"/>
        <w:rPr>
          <w:rFonts w:hint="eastAsia" w:ascii="宋体" w:hAnsi="宋体" w:eastAsia="宋体" w:cs="宋体"/>
          <w:b/>
          <w:color w:val="auto"/>
          <w:kern w:val="2"/>
          <w:sz w:val="21"/>
          <w:szCs w:val="21"/>
          <w:highlight w:val="none"/>
          <w:lang w:val="en-US" w:eastAsia="zh-CN" w:bidi="ar-SA"/>
        </w:rPr>
      </w:pPr>
      <w:r>
        <w:rPr>
          <w:rFonts w:hint="eastAsia" w:hAnsi="宋体" w:cs="宋体"/>
          <w:b/>
          <w:color w:val="auto"/>
          <w:kern w:val="2"/>
          <w:sz w:val="21"/>
          <w:szCs w:val="21"/>
          <w:highlight w:val="none"/>
          <w:lang w:val="en-US" w:eastAsia="zh-CN" w:bidi="ar-SA"/>
        </w:rPr>
        <w:t>29</w:t>
      </w:r>
      <w:r>
        <w:rPr>
          <w:rFonts w:hint="eastAsia" w:ascii="宋体" w:hAnsi="宋体" w:eastAsia="宋体" w:cs="宋体"/>
          <w:b/>
          <w:color w:val="auto"/>
          <w:kern w:val="2"/>
          <w:sz w:val="21"/>
          <w:szCs w:val="21"/>
          <w:highlight w:val="none"/>
          <w:lang w:val="en-US" w:eastAsia="zh-CN" w:bidi="ar-SA"/>
        </w:rPr>
        <w:t>、</w:t>
      </w:r>
      <w:r>
        <w:rPr>
          <w:rFonts w:hint="eastAsia" w:hAnsi="宋体" w:cs="宋体"/>
          <w:b/>
          <w:color w:val="auto"/>
          <w:kern w:val="2"/>
          <w:sz w:val="21"/>
          <w:szCs w:val="21"/>
          <w:highlight w:val="none"/>
          <w:lang w:val="en-US" w:eastAsia="zh-CN" w:bidi="ar-SA"/>
        </w:rPr>
        <w:t>谈判响应文件</w:t>
      </w:r>
      <w:r>
        <w:rPr>
          <w:rFonts w:hint="eastAsia" w:ascii="宋体" w:hAnsi="宋体" w:eastAsia="宋体" w:cs="宋体"/>
          <w:b/>
          <w:color w:val="auto"/>
          <w:kern w:val="2"/>
          <w:sz w:val="21"/>
          <w:szCs w:val="21"/>
          <w:highlight w:val="none"/>
          <w:lang w:val="en-US" w:eastAsia="zh-CN" w:bidi="ar-SA"/>
        </w:rPr>
        <w:t>的偏差</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.1</w:t>
      </w:r>
      <w:r>
        <w:rPr>
          <w:rFonts w:hint="eastAsia" w:ascii="宋体" w:hAnsi="宋体" w:cs="宋体"/>
          <w:color w:val="auto"/>
          <w:szCs w:val="21"/>
          <w:highlight w:val="none"/>
          <w:lang w:eastAsia="zh-CN"/>
        </w:rPr>
        <w:t>谈判小组</w:t>
      </w:r>
      <w:r>
        <w:rPr>
          <w:rFonts w:hint="eastAsia" w:ascii="宋体" w:hAnsi="宋体" w:cs="宋体"/>
          <w:color w:val="auto"/>
          <w:szCs w:val="21"/>
          <w:highlight w:val="none"/>
        </w:rPr>
        <w:t>应当根据</w:t>
      </w:r>
      <w:r>
        <w:rPr>
          <w:rFonts w:hint="eastAsia" w:ascii="宋体" w:hAnsi="宋体" w:cs="宋体"/>
          <w:color w:val="auto"/>
          <w:szCs w:val="21"/>
          <w:highlight w:val="none"/>
          <w:lang w:eastAsia="zh-CN"/>
        </w:rPr>
        <w:t>竞争性谈判文件</w:t>
      </w:r>
      <w:r>
        <w:rPr>
          <w:rFonts w:hint="eastAsia" w:ascii="宋体" w:hAnsi="宋体" w:cs="宋体"/>
          <w:color w:val="auto"/>
          <w:szCs w:val="21"/>
          <w:highlight w:val="none"/>
        </w:rPr>
        <w:t>有关规定，审查并逐项列出</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的全部</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偏差。</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偏差分重大偏差和细微偏差。</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偏差的界定和评审</w:t>
      </w:r>
    </w:p>
    <w:p>
      <w:pPr>
        <w:widowControl/>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29</w:t>
      </w:r>
      <w:r>
        <w:rPr>
          <w:rFonts w:hint="eastAsia" w:ascii="宋体" w:hAnsi="宋体" w:cs="宋体"/>
          <w:b/>
          <w:bCs/>
          <w:color w:val="auto"/>
          <w:szCs w:val="21"/>
          <w:highlight w:val="none"/>
        </w:rPr>
        <w:t>.2.1重大偏差的认定，</w:t>
      </w:r>
      <w:r>
        <w:rPr>
          <w:rFonts w:hint="eastAsia" w:ascii="宋体" w:hAnsi="宋体" w:cs="宋体"/>
          <w:b/>
          <w:bCs/>
          <w:color w:val="auto"/>
          <w:szCs w:val="21"/>
          <w:highlight w:val="none"/>
          <w:lang w:eastAsia="zh-CN"/>
        </w:rPr>
        <w:t>谈判响应文件</w:t>
      </w:r>
      <w:r>
        <w:rPr>
          <w:rFonts w:hint="eastAsia" w:ascii="宋体" w:hAnsi="宋体" w:cs="宋体"/>
          <w:b/>
          <w:bCs/>
          <w:color w:val="auto"/>
          <w:szCs w:val="21"/>
          <w:highlight w:val="none"/>
        </w:rPr>
        <w:t>有下列情形之一的，属于重大偏差，由</w:t>
      </w:r>
      <w:r>
        <w:rPr>
          <w:rFonts w:hint="eastAsia" w:ascii="宋体" w:hAnsi="宋体" w:cs="宋体"/>
          <w:b/>
          <w:bCs/>
          <w:color w:val="auto"/>
          <w:szCs w:val="21"/>
          <w:highlight w:val="none"/>
          <w:lang w:eastAsia="zh-CN"/>
        </w:rPr>
        <w:t>谈判小组</w:t>
      </w:r>
      <w:r>
        <w:rPr>
          <w:rFonts w:hint="eastAsia" w:ascii="宋体" w:hAnsi="宋体" w:cs="宋体"/>
          <w:b/>
          <w:bCs/>
          <w:color w:val="auto"/>
          <w:szCs w:val="21"/>
          <w:highlight w:val="none"/>
        </w:rPr>
        <w:t>评审后按无效标处理：</w:t>
      </w:r>
    </w:p>
    <w:p>
      <w:pPr>
        <w:widowControl/>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未按</w:t>
      </w:r>
      <w:r>
        <w:rPr>
          <w:rFonts w:hint="eastAsia" w:ascii="宋体" w:hAnsi="宋体" w:cs="宋体"/>
          <w:b/>
          <w:bCs/>
          <w:color w:val="auto"/>
          <w:szCs w:val="21"/>
          <w:highlight w:val="none"/>
          <w:lang w:eastAsia="zh-CN"/>
        </w:rPr>
        <w:t>竞争性谈判文件</w:t>
      </w:r>
      <w:r>
        <w:rPr>
          <w:rFonts w:hint="eastAsia" w:ascii="宋体" w:hAnsi="宋体" w:cs="宋体"/>
          <w:b/>
          <w:bCs/>
          <w:color w:val="auto"/>
          <w:szCs w:val="21"/>
          <w:highlight w:val="none"/>
        </w:rPr>
        <w:t>中所附</w:t>
      </w:r>
      <w:r>
        <w:rPr>
          <w:rFonts w:hint="eastAsia" w:ascii="宋体" w:hAnsi="宋体" w:cs="宋体"/>
          <w:b/>
          <w:bCs/>
          <w:color w:val="auto"/>
          <w:szCs w:val="21"/>
          <w:highlight w:val="none"/>
          <w:lang w:eastAsia="zh-CN"/>
        </w:rPr>
        <w:t>谈判响应文件</w:t>
      </w:r>
      <w:r>
        <w:rPr>
          <w:rFonts w:hint="eastAsia" w:ascii="宋体" w:hAnsi="宋体" w:cs="宋体"/>
          <w:b/>
          <w:bCs/>
          <w:color w:val="auto"/>
          <w:szCs w:val="21"/>
          <w:highlight w:val="none"/>
        </w:rPr>
        <w:t>格式在规定部位</w:t>
      </w:r>
      <w:r>
        <w:rPr>
          <w:rFonts w:hint="eastAsia" w:ascii="宋体" w:hAnsi="宋体" w:cs="宋体"/>
          <w:b/>
          <w:bCs/>
          <w:color w:val="auto"/>
          <w:szCs w:val="21"/>
          <w:highlight w:val="none"/>
          <w:lang w:eastAsia="zh-CN"/>
        </w:rPr>
        <w:t>签字或</w:t>
      </w:r>
      <w:r>
        <w:rPr>
          <w:rFonts w:hint="eastAsia" w:ascii="宋体" w:hAnsi="宋体" w:cs="宋体"/>
          <w:b/>
          <w:bCs/>
          <w:color w:val="auto"/>
          <w:szCs w:val="21"/>
          <w:highlight w:val="none"/>
        </w:rPr>
        <w:t>盖章的</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另有约定的除外</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p>
    <w:p>
      <w:pPr>
        <w:widowControl/>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未按规定的格式填写，实质性内容不全或关键字迹模糊、无法辨认的；</w:t>
      </w:r>
    </w:p>
    <w:p>
      <w:pPr>
        <w:widowControl/>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lang w:eastAsia="zh-CN"/>
        </w:rPr>
        <w:t>）谈判响应人提交</w:t>
      </w:r>
      <w:r>
        <w:rPr>
          <w:rFonts w:hint="eastAsia" w:ascii="宋体" w:hAnsi="宋体" w:cs="宋体"/>
          <w:b/>
          <w:bCs/>
          <w:color w:val="auto"/>
          <w:szCs w:val="21"/>
          <w:highlight w:val="none"/>
        </w:rPr>
        <w:t>两份</w:t>
      </w:r>
      <w:r>
        <w:rPr>
          <w:rFonts w:hint="eastAsia" w:ascii="宋体" w:hAnsi="宋体" w:cs="宋体"/>
          <w:b/>
          <w:bCs/>
          <w:color w:val="auto"/>
          <w:szCs w:val="21"/>
          <w:highlight w:val="none"/>
          <w:lang w:eastAsia="zh-CN"/>
        </w:rPr>
        <w:t>及以上</w:t>
      </w:r>
      <w:r>
        <w:rPr>
          <w:rFonts w:hint="eastAsia" w:ascii="宋体" w:hAnsi="宋体" w:cs="宋体"/>
          <w:b/>
          <w:bCs/>
          <w:color w:val="auto"/>
          <w:szCs w:val="21"/>
          <w:highlight w:val="none"/>
        </w:rPr>
        <w:t>内容不同的</w:t>
      </w:r>
      <w:r>
        <w:rPr>
          <w:rFonts w:hint="eastAsia" w:ascii="宋体" w:hAnsi="宋体" w:cs="宋体"/>
          <w:b/>
          <w:bCs/>
          <w:color w:val="auto"/>
          <w:szCs w:val="21"/>
          <w:highlight w:val="none"/>
          <w:lang w:eastAsia="zh-CN"/>
        </w:rPr>
        <w:t>谈判响应文件</w:t>
      </w:r>
      <w:r>
        <w:rPr>
          <w:rFonts w:hint="eastAsia" w:ascii="宋体" w:hAnsi="宋体" w:cs="宋体"/>
          <w:b/>
          <w:bCs/>
          <w:color w:val="auto"/>
          <w:szCs w:val="21"/>
          <w:highlight w:val="none"/>
        </w:rPr>
        <w:t>，或在一份</w:t>
      </w:r>
      <w:r>
        <w:rPr>
          <w:rFonts w:hint="eastAsia" w:ascii="宋体" w:hAnsi="宋体" w:cs="宋体"/>
          <w:b/>
          <w:bCs/>
          <w:color w:val="auto"/>
          <w:szCs w:val="21"/>
          <w:highlight w:val="none"/>
          <w:lang w:eastAsia="zh-CN"/>
        </w:rPr>
        <w:t>谈判响应文件</w:t>
      </w:r>
      <w:r>
        <w:rPr>
          <w:rFonts w:hint="eastAsia" w:ascii="宋体" w:hAnsi="宋体" w:cs="宋体"/>
          <w:b/>
          <w:bCs/>
          <w:color w:val="auto"/>
          <w:szCs w:val="21"/>
          <w:highlight w:val="none"/>
        </w:rPr>
        <w:t>中对同一招标项目报有两个</w:t>
      </w:r>
      <w:r>
        <w:rPr>
          <w:rFonts w:hint="eastAsia" w:ascii="宋体" w:hAnsi="宋体" w:cs="宋体"/>
          <w:b/>
          <w:bCs/>
          <w:color w:val="auto"/>
          <w:szCs w:val="21"/>
          <w:highlight w:val="none"/>
          <w:lang w:eastAsia="zh-CN"/>
        </w:rPr>
        <w:t>及以上</w:t>
      </w:r>
      <w:r>
        <w:rPr>
          <w:rFonts w:hint="eastAsia" w:ascii="宋体" w:hAnsi="宋体" w:cs="宋体"/>
          <w:b/>
          <w:bCs/>
          <w:color w:val="auto"/>
          <w:szCs w:val="21"/>
          <w:highlight w:val="none"/>
        </w:rPr>
        <w:t>报价，且未声明哪一个有效的</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按</w:t>
      </w:r>
      <w:r>
        <w:rPr>
          <w:rFonts w:hint="eastAsia" w:ascii="宋体" w:hAnsi="宋体" w:cs="宋体"/>
          <w:b/>
          <w:bCs/>
          <w:color w:val="auto"/>
          <w:szCs w:val="21"/>
          <w:highlight w:val="none"/>
          <w:lang w:eastAsia="zh-CN"/>
        </w:rPr>
        <w:t>竞争性谈判文件约定</w:t>
      </w:r>
      <w:r>
        <w:rPr>
          <w:rFonts w:hint="eastAsia" w:ascii="宋体" w:hAnsi="宋体" w:cs="宋体"/>
          <w:b/>
          <w:bCs/>
          <w:color w:val="auto"/>
          <w:szCs w:val="21"/>
          <w:highlight w:val="none"/>
        </w:rPr>
        <w:t>提交备选</w:t>
      </w:r>
      <w:r>
        <w:rPr>
          <w:rFonts w:hint="eastAsia" w:ascii="宋体" w:hAnsi="宋体" w:cs="宋体"/>
          <w:b/>
          <w:bCs/>
          <w:color w:val="auto"/>
          <w:szCs w:val="21"/>
          <w:highlight w:val="none"/>
          <w:lang w:eastAsia="zh-CN"/>
        </w:rPr>
        <w:t>谈判</w:t>
      </w:r>
      <w:r>
        <w:rPr>
          <w:rFonts w:hint="eastAsia" w:ascii="宋体" w:hAnsi="宋体" w:cs="宋体"/>
          <w:b/>
          <w:bCs/>
          <w:color w:val="auto"/>
          <w:szCs w:val="21"/>
          <w:highlight w:val="none"/>
        </w:rPr>
        <w:t>方案的除外</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p>
    <w:p>
      <w:pPr>
        <w:widowControl/>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lang w:eastAsia="zh-CN"/>
        </w:rPr>
        <w:t>）谈判响应文件</w:t>
      </w:r>
      <w:r>
        <w:rPr>
          <w:rFonts w:hint="eastAsia" w:ascii="宋体" w:hAnsi="宋体" w:cs="宋体"/>
          <w:b/>
          <w:bCs/>
          <w:color w:val="auto"/>
          <w:szCs w:val="21"/>
          <w:highlight w:val="none"/>
        </w:rPr>
        <w:t>明显不符合</w:t>
      </w:r>
      <w:r>
        <w:rPr>
          <w:rFonts w:hint="eastAsia" w:ascii="宋体" w:hAnsi="宋体" w:cs="宋体"/>
          <w:b/>
          <w:bCs/>
          <w:color w:val="auto"/>
          <w:szCs w:val="21"/>
          <w:highlight w:val="none"/>
          <w:lang w:eastAsia="zh-CN"/>
        </w:rPr>
        <w:t>竞争性谈判文件约定</w:t>
      </w:r>
      <w:r>
        <w:rPr>
          <w:rFonts w:hint="eastAsia" w:ascii="宋体" w:hAnsi="宋体" w:cs="宋体"/>
          <w:b/>
          <w:bCs/>
          <w:color w:val="auto"/>
          <w:szCs w:val="21"/>
          <w:highlight w:val="none"/>
        </w:rPr>
        <w:t>的报价、工期、质量标准、技术规格、施工方案评审文件或其它实质性要求；</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未按规定格式提供、填写</w:t>
      </w:r>
      <w:r>
        <w:rPr>
          <w:rFonts w:hint="eastAsia" w:ascii="宋体" w:hAnsi="宋体" w:cs="宋体"/>
          <w:b/>
          <w:bCs/>
          <w:color w:val="auto"/>
          <w:szCs w:val="21"/>
          <w:highlight w:val="none"/>
          <w:lang w:eastAsia="zh-CN"/>
        </w:rPr>
        <w:t>谈判响应函</w:t>
      </w:r>
      <w:r>
        <w:rPr>
          <w:rFonts w:hint="eastAsia" w:ascii="宋体" w:hAnsi="宋体" w:cs="宋体"/>
          <w:b/>
          <w:bCs/>
          <w:color w:val="auto"/>
          <w:szCs w:val="21"/>
          <w:highlight w:val="none"/>
        </w:rPr>
        <w:t>的；</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lang w:eastAsia="zh-CN"/>
        </w:rPr>
        <w:t>）谈判响应文件</w:t>
      </w:r>
      <w:r>
        <w:rPr>
          <w:rFonts w:hint="eastAsia" w:ascii="宋体" w:hAnsi="宋体" w:cs="宋体"/>
          <w:b/>
          <w:bCs/>
          <w:color w:val="auto"/>
          <w:szCs w:val="21"/>
          <w:highlight w:val="none"/>
        </w:rPr>
        <w:t>中存在</w:t>
      </w:r>
      <w:r>
        <w:rPr>
          <w:rFonts w:hint="eastAsia" w:ascii="宋体" w:hAnsi="宋体" w:cs="宋体"/>
          <w:b/>
          <w:bCs/>
          <w:color w:val="auto"/>
          <w:szCs w:val="21"/>
          <w:highlight w:val="none"/>
          <w:lang w:eastAsia="zh-CN"/>
        </w:rPr>
        <w:t>采购人</w:t>
      </w:r>
      <w:r>
        <w:rPr>
          <w:rFonts w:hint="eastAsia" w:ascii="宋体" w:hAnsi="宋体" w:cs="宋体"/>
          <w:b/>
          <w:bCs/>
          <w:color w:val="auto"/>
          <w:szCs w:val="21"/>
          <w:highlight w:val="none"/>
        </w:rPr>
        <w:t>不能接受的其它实质性条件或提供虚假文件；</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lang w:eastAsia="zh-CN"/>
        </w:rPr>
        <w:t>）谈判响应文件</w:t>
      </w:r>
      <w:r>
        <w:rPr>
          <w:rFonts w:hint="eastAsia" w:ascii="宋体" w:hAnsi="宋体" w:cs="宋体"/>
          <w:b/>
          <w:bCs/>
          <w:color w:val="auto"/>
          <w:szCs w:val="21"/>
          <w:highlight w:val="none"/>
        </w:rPr>
        <w:t>中的其它重大偏差（包括缺项，漏项）：</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strike w:val="0"/>
          <w:dstrike w:val="0"/>
          <w:color w:val="auto"/>
          <w:szCs w:val="21"/>
          <w:highlight w:val="none"/>
        </w:rPr>
      </w:pPr>
      <w:r>
        <w:rPr>
          <w:rFonts w:hint="eastAsia" w:ascii="宋体" w:hAnsi="宋体" w:cs="宋体"/>
          <w:b/>
          <w:bCs/>
          <w:strike w:val="0"/>
          <w:dstrike w:val="0"/>
          <w:color w:val="auto"/>
          <w:szCs w:val="21"/>
          <w:highlight w:val="none"/>
        </w:rPr>
        <w:t>①</w:t>
      </w:r>
      <w:r>
        <w:rPr>
          <w:rFonts w:hint="eastAsia" w:ascii="宋体" w:hAnsi="宋体" w:cs="宋体"/>
          <w:b/>
          <w:bCs/>
          <w:strike w:val="0"/>
          <w:dstrike w:val="0"/>
          <w:color w:val="auto"/>
          <w:szCs w:val="21"/>
          <w:highlight w:val="none"/>
          <w:lang w:eastAsia="zh-CN"/>
        </w:rPr>
        <w:t>谈判报价</w:t>
      </w:r>
      <w:r>
        <w:rPr>
          <w:rFonts w:hint="eastAsia" w:ascii="宋体" w:hAnsi="宋体" w:cs="宋体"/>
          <w:b/>
          <w:bCs/>
          <w:strike w:val="0"/>
          <w:dstrike w:val="0"/>
          <w:color w:val="auto"/>
          <w:szCs w:val="21"/>
          <w:highlight w:val="none"/>
        </w:rPr>
        <w:t>高于</w:t>
      </w:r>
      <w:r>
        <w:rPr>
          <w:rFonts w:hint="eastAsia" w:ascii="宋体" w:hAnsi="宋体" w:cs="宋体"/>
          <w:b/>
          <w:bCs/>
          <w:strike w:val="0"/>
          <w:dstrike w:val="0"/>
          <w:color w:val="auto"/>
          <w:szCs w:val="21"/>
          <w:highlight w:val="none"/>
          <w:lang w:eastAsia="zh-CN"/>
        </w:rPr>
        <w:t>最高谈判限价</w:t>
      </w:r>
      <w:r>
        <w:rPr>
          <w:rFonts w:hint="eastAsia" w:ascii="宋体" w:hAnsi="宋体" w:cs="宋体"/>
          <w:b/>
          <w:bCs/>
          <w:strike w:val="0"/>
          <w:dstrike w:val="0"/>
          <w:color w:val="auto"/>
          <w:szCs w:val="21"/>
          <w:highlight w:val="none"/>
        </w:rPr>
        <w:t>的</w:t>
      </w:r>
      <w:r>
        <w:rPr>
          <w:rFonts w:hint="eastAsia" w:ascii="宋体" w:hAnsi="宋体" w:cs="宋体"/>
          <w:b/>
          <w:bCs/>
          <w:strike w:val="0"/>
          <w:dstrike w:val="0"/>
          <w:color w:val="auto"/>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strike w:val="0"/>
          <w:dstrike w:val="0"/>
          <w:color w:val="auto"/>
          <w:szCs w:val="21"/>
          <w:highlight w:val="none"/>
        </w:rPr>
      </w:pPr>
      <w:r>
        <w:rPr>
          <w:rFonts w:hint="eastAsia" w:ascii="宋体" w:hAnsi="宋体" w:cs="宋体"/>
          <w:b/>
          <w:bCs/>
          <w:strike w:val="0"/>
          <w:dstrike w:val="0"/>
          <w:color w:val="auto"/>
          <w:szCs w:val="21"/>
          <w:highlight w:val="none"/>
        </w:rPr>
        <w:t>②</w:t>
      </w:r>
      <w:r>
        <w:rPr>
          <w:rFonts w:hint="eastAsia" w:ascii="宋体" w:hAnsi="宋体" w:cs="宋体"/>
          <w:b/>
          <w:bCs/>
          <w:strike w:val="0"/>
          <w:dstrike w:val="0"/>
          <w:color w:val="auto"/>
          <w:szCs w:val="21"/>
          <w:highlight w:val="none"/>
          <w:lang w:eastAsia="zh-CN"/>
        </w:rPr>
        <w:t>谈判响应人</w:t>
      </w:r>
      <w:r>
        <w:rPr>
          <w:rFonts w:hint="eastAsia" w:ascii="宋体" w:hAnsi="宋体" w:cs="宋体"/>
          <w:b/>
          <w:bCs/>
          <w:strike w:val="0"/>
          <w:dstrike w:val="0"/>
          <w:color w:val="auto"/>
          <w:szCs w:val="21"/>
          <w:highlight w:val="none"/>
        </w:rPr>
        <w:t>拒不按照要求对</w:t>
      </w:r>
      <w:r>
        <w:rPr>
          <w:rFonts w:hint="eastAsia" w:ascii="宋体" w:hAnsi="宋体" w:cs="宋体"/>
          <w:b/>
          <w:bCs/>
          <w:strike w:val="0"/>
          <w:dstrike w:val="0"/>
          <w:color w:val="auto"/>
          <w:szCs w:val="21"/>
          <w:highlight w:val="none"/>
          <w:lang w:eastAsia="zh-CN"/>
        </w:rPr>
        <w:t>谈判响应文件</w:t>
      </w:r>
      <w:r>
        <w:rPr>
          <w:rFonts w:hint="eastAsia" w:ascii="宋体" w:hAnsi="宋体" w:cs="宋体"/>
          <w:b/>
          <w:bCs/>
          <w:strike w:val="0"/>
          <w:dstrike w:val="0"/>
          <w:color w:val="auto"/>
          <w:szCs w:val="21"/>
          <w:highlight w:val="none"/>
        </w:rPr>
        <w:t>进行澄清、说明、补正的</w:t>
      </w:r>
      <w:r>
        <w:rPr>
          <w:rFonts w:hint="eastAsia" w:ascii="宋体" w:hAnsi="宋体" w:cs="宋体"/>
          <w:b/>
          <w:bCs/>
          <w:strike w:val="0"/>
          <w:dstrike w:val="0"/>
          <w:color w:val="auto"/>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strike w:val="0"/>
          <w:dstrike w:val="0"/>
          <w:color w:val="auto"/>
          <w:szCs w:val="21"/>
          <w:highlight w:val="none"/>
          <w:lang w:eastAsia="zh-CN"/>
        </w:rPr>
      </w:pPr>
      <w:r>
        <w:rPr>
          <w:rFonts w:hint="eastAsia" w:ascii="宋体" w:hAnsi="宋体" w:cs="宋体"/>
          <w:b/>
          <w:bCs/>
          <w:strike w:val="0"/>
          <w:dstrike w:val="0"/>
          <w:color w:val="auto"/>
          <w:szCs w:val="21"/>
          <w:highlight w:val="none"/>
        </w:rPr>
        <w:t>③</w:t>
      </w:r>
      <w:r>
        <w:rPr>
          <w:rFonts w:hint="eastAsia" w:ascii="宋体" w:hAnsi="宋体" w:cs="宋体"/>
          <w:b/>
          <w:bCs/>
          <w:strike w:val="0"/>
          <w:dstrike w:val="0"/>
          <w:color w:val="auto"/>
          <w:szCs w:val="21"/>
          <w:highlight w:val="none"/>
          <w:lang w:eastAsia="zh-CN"/>
        </w:rPr>
        <w:t>谈判报价</w:t>
      </w:r>
      <w:r>
        <w:rPr>
          <w:rFonts w:hint="eastAsia" w:ascii="宋体" w:hAnsi="宋体" w:cs="宋体"/>
          <w:b/>
          <w:bCs/>
          <w:strike w:val="0"/>
          <w:dstrike w:val="0"/>
          <w:color w:val="auto"/>
          <w:szCs w:val="21"/>
          <w:highlight w:val="none"/>
        </w:rPr>
        <w:t>中变更</w:t>
      </w:r>
      <w:r>
        <w:rPr>
          <w:rFonts w:hint="eastAsia" w:ascii="宋体" w:hAnsi="宋体" w:cs="宋体"/>
          <w:b/>
          <w:bCs/>
          <w:strike w:val="0"/>
          <w:dstrike w:val="0"/>
          <w:color w:val="auto"/>
          <w:szCs w:val="21"/>
          <w:highlight w:val="none"/>
          <w:lang w:eastAsia="zh-CN"/>
        </w:rPr>
        <w:t>暂列金额</w:t>
      </w:r>
      <w:r>
        <w:rPr>
          <w:rFonts w:hint="eastAsia" w:ascii="宋体" w:hAnsi="宋体" w:cs="宋体"/>
          <w:b/>
          <w:bCs/>
          <w:strike w:val="0"/>
          <w:dstrike w:val="0"/>
          <w:color w:val="auto"/>
          <w:szCs w:val="21"/>
          <w:highlight w:val="none"/>
        </w:rPr>
        <w:t>或</w:t>
      </w:r>
      <w:r>
        <w:rPr>
          <w:rFonts w:hint="eastAsia" w:ascii="宋体" w:hAnsi="宋体" w:cs="宋体"/>
          <w:b/>
          <w:bCs/>
          <w:strike w:val="0"/>
          <w:dstrike w:val="0"/>
          <w:color w:val="auto"/>
          <w:szCs w:val="21"/>
          <w:highlight w:val="none"/>
          <w:lang w:eastAsia="zh-CN"/>
        </w:rPr>
        <w:t>采购人</w:t>
      </w:r>
      <w:r>
        <w:rPr>
          <w:rFonts w:hint="eastAsia" w:ascii="宋体" w:hAnsi="宋体" w:cs="宋体"/>
          <w:b/>
          <w:bCs/>
          <w:strike w:val="0"/>
          <w:dstrike w:val="0"/>
          <w:color w:val="auto"/>
          <w:szCs w:val="21"/>
          <w:highlight w:val="none"/>
        </w:rPr>
        <w:t>提供的</w:t>
      </w:r>
      <w:r>
        <w:rPr>
          <w:rFonts w:hint="eastAsia" w:ascii="宋体" w:hAnsi="宋体" w:cs="宋体"/>
          <w:b/>
          <w:bCs/>
          <w:strike w:val="0"/>
          <w:dstrike w:val="0"/>
          <w:color w:val="auto"/>
          <w:szCs w:val="21"/>
          <w:highlight w:val="none"/>
          <w:lang w:eastAsia="zh-CN"/>
        </w:rPr>
        <w:t>暂估价</w:t>
      </w:r>
      <w:r>
        <w:rPr>
          <w:rFonts w:hint="eastAsia" w:ascii="宋体" w:hAnsi="宋体" w:cs="宋体"/>
          <w:b/>
          <w:bCs/>
          <w:strike w:val="0"/>
          <w:dstrike w:val="0"/>
          <w:color w:val="auto"/>
          <w:szCs w:val="21"/>
          <w:highlight w:val="none"/>
        </w:rPr>
        <w:t>的</w:t>
      </w:r>
      <w:r>
        <w:rPr>
          <w:rFonts w:hint="eastAsia" w:ascii="宋体" w:hAnsi="宋体" w:cs="宋体"/>
          <w:b/>
          <w:bCs/>
          <w:strike w:val="0"/>
          <w:dstrike w:val="0"/>
          <w:color w:val="auto"/>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strike w:val="0"/>
          <w:dstrike w:val="0"/>
          <w:color w:val="auto"/>
          <w:szCs w:val="21"/>
          <w:highlight w:val="none"/>
        </w:rPr>
      </w:pPr>
      <w:r>
        <w:rPr>
          <w:rFonts w:hint="eastAsia" w:ascii="宋体" w:hAnsi="宋体" w:cs="宋体"/>
          <w:b/>
          <w:bCs/>
          <w:strike w:val="0"/>
          <w:dstrike w:val="0"/>
          <w:color w:val="auto"/>
          <w:szCs w:val="21"/>
          <w:highlight w:val="none"/>
        </w:rPr>
        <w:t>④技术标文件或</w:t>
      </w:r>
      <w:r>
        <w:rPr>
          <w:rFonts w:hint="eastAsia" w:ascii="宋体" w:hAnsi="宋体" w:cs="宋体"/>
          <w:b/>
          <w:bCs/>
          <w:strike w:val="0"/>
          <w:dstrike w:val="0"/>
          <w:color w:val="auto"/>
          <w:szCs w:val="21"/>
          <w:highlight w:val="none"/>
          <w:lang w:eastAsia="zh-CN"/>
        </w:rPr>
        <w:t>谈判报价</w:t>
      </w:r>
      <w:r>
        <w:rPr>
          <w:rFonts w:hint="eastAsia" w:ascii="宋体" w:hAnsi="宋体" w:cs="宋体"/>
          <w:b/>
          <w:bCs/>
          <w:strike w:val="0"/>
          <w:dstrike w:val="0"/>
          <w:color w:val="auto"/>
          <w:szCs w:val="21"/>
          <w:highlight w:val="none"/>
        </w:rPr>
        <w:t>经评审委员会评审不合格的；</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strike w:val="0"/>
          <w:dstrike w:val="0"/>
          <w:color w:val="auto"/>
          <w:szCs w:val="21"/>
          <w:highlight w:val="none"/>
        </w:rPr>
      </w:pPr>
      <w:r>
        <w:rPr>
          <w:rFonts w:hint="eastAsia" w:ascii="宋体" w:hAnsi="宋体" w:cs="宋体"/>
          <w:b/>
          <w:bCs/>
          <w:strike w:val="0"/>
          <w:dstrike w:val="0"/>
          <w:color w:val="auto"/>
          <w:szCs w:val="21"/>
          <w:highlight w:val="none"/>
        </w:rPr>
        <w:t>⑤法律、法规规定</w:t>
      </w:r>
      <w:r>
        <w:rPr>
          <w:rFonts w:hint="eastAsia" w:ascii="宋体" w:hAnsi="宋体" w:cs="宋体"/>
          <w:b/>
          <w:bCs/>
          <w:strike w:val="0"/>
          <w:dstrike w:val="0"/>
          <w:color w:val="auto"/>
          <w:szCs w:val="21"/>
          <w:highlight w:val="none"/>
          <w:lang w:eastAsia="zh-CN"/>
        </w:rPr>
        <w:t>及竞争性谈判文件约定</w:t>
      </w:r>
      <w:r>
        <w:rPr>
          <w:rFonts w:hint="eastAsia" w:ascii="宋体" w:hAnsi="宋体" w:cs="宋体"/>
          <w:b/>
          <w:bCs/>
          <w:strike w:val="0"/>
          <w:dstrike w:val="0"/>
          <w:color w:val="auto"/>
          <w:szCs w:val="21"/>
          <w:highlight w:val="none"/>
        </w:rPr>
        <w:t>的其它情形。</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.2.2评委对界定为细微偏差的应做相应调整，谈判响应人应</w:t>
      </w:r>
      <w:r>
        <w:rPr>
          <w:rFonts w:hint="eastAsia" w:ascii="宋体" w:hAnsi="宋体" w:cs="宋体"/>
          <w:color w:val="auto"/>
          <w:szCs w:val="21"/>
          <w:highlight w:val="none"/>
          <w:lang w:val="en-US" w:eastAsia="zh-CN"/>
        </w:rPr>
        <w:t>在线</w:t>
      </w:r>
      <w:r>
        <w:rPr>
          <w:rFonts w:hint="eastAsia" w:ascii="宋体" w:hAnsi="宋体" w:cs="宋体"/>
          <w:color w:val="auto"/>
          <w:szCs w:val="21"/>
          <w:highlight w:val="none"/>
        </w:rPr>
        <w:t>接受调整内容。</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.3 细微偏差的认定：细微偏差是指</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在实质上响应</w:t>
      </w:r>
      <w:r>
        <w:rPr>
          <w:rFonts w:hint="eastAsia" w:ascii="宋体" w:hAnsi="宋体" w:cs="宋体"/>
          <w:color w:val="auto"/>
          <w:szCs w:val="21"/>
          <w:highlight w:val="none"/>
          <w:lang w:eastAsia="zh-CN"/>
        </w:rPr>
        <w:t>竞争性谈判文件</w:t>
      </w:r>
      <w:r>
        <w:rPr>
          <w:rFonts w:hint="eastAsia" w:ascii="宋体" w:hAnsi="宋体" w:cs="宋体"/>
          <w:color w:val="auto"/>
          <w:szCs w:val="21"/>
          <w:highlight w:val="none"/>
        </w:rPr>
        <w:t>要求，但在个别地方存在漏项或者提供了不完整的技术信息和数据等情况，并且补正这些遗漏或者不完整不会对其他</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造成不公平的结果。细微偏差不影响</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的有效性。</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如果</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实质上不响应</w:t>
      </w:r>
      <w:r>
        <w:rPr>
          <w:rFonts w:hint="eastAsia" w:ascii="宋体" w:hAnsi="宋体" w:cs="宋体"/>
          <w:color w:val="auto"/>
          <w:szCs w:val="21"/>
          <w:highlight w:val="none"/>
          <w:lang w:eastAsia="zh-CN"/>
        </w:rPr>
        <w:t>竞争性谈判文件</w:t>
      </w:r>
      <w:r>
        <w:rPr>
          <w:rFonts w:hint="eastAsia" w:ascii="宋体" w:hAnsi="宋体" w:cs="宋体"/>
          <w:color w:val="auto"/>
          <w:szCs w:val="21"/>
          <w:highlight w:val="none"/>
        </w:rPr>
        <w:t>的各项要求，</w:t>
      </w:r>
      <w:r>
        <w:rPr>
          <w:rFonts w:hint="eastAsia" w:ascii="宋体" w:hAnsi="宋体" w:cs="宋体"/>
          <w:color w:val="auto"/>
          <w:szCs w:val="21"/>
          <w:highlight w:val="none"/>
          <w:lang w:eastAsia="zh-CN"/>
        </w:rPr>
        <w:t>谈判小组</w:t>
      </w:r>
      <w:r>
        <w:rPr>
          <w:rFonts w:hint="eastAsia" w:ascii="宋体" w:hAnsi="宋体" w:cs="宋体"/>
          <w:color w:val="auto"/>
          <w:szCs w:val="21"/>
          <w:highlight w:val="none"/>
        </w:rPr>
        <w:t>将予以拒绝，并且不允许</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通过修改或撤销其不符合要求的差异或保留，使之成为具有响应性的</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经审查符合竞争性谈判文件要求的有效谈判响应文件，由谈判小组进行详细评审、比较。</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3</w:t>
      </w:r>
      <w:r>
        <w:rPr>
          <w:rFonts w:hint="eastAsia" w:ascii="宋体" w:hAnsi="宋体" w:cs="宋体"/>
          <w:b/>
          <w:color w:val="auto"/>
          <w:kern w:val="2"/>
          <w:sz w:val="21"/>
          <w:szCs w:val="21"/>
          <w:highlight w:val="none"/>
          <w:lang w:val="en-US" w:eastAsia="zh-CN" w:bidi="ar-SA"/>
        </w:rPr>
        <w:t>0</w:t>
      </w:r>
      <w:r>
        <w:rPr>
          <w:rFonts w:hint="eastAsia" w:ascii="宋体" w:hAnsi="宋体" w:eastAsia="宋体" w:cs="宋体"/>
          <w:b/>
          <w:color w:val="auto"/>
          <w:kern w:val="2"/>
          <w:sz w:val="21"/>
          <w:szCs w:val="21"/>
          <w:highlight w:val="none"/>
          <w:lang w:val="en-US" w:eastAsia="zh-CN" w:bidi="ar-SA"/>
        </w:rPr>
        <w:t>、</w:t>
      </w:r>
      <w:r>
        <w:rPr>
          <w:rFonts w:hint="eastAsia" w:ascii="宋体" w:hAnsi="宋体" w:cs="宋体"/>
          <w:b/>
          <w:color w:val="auto"/>
          <w:kern w:val="2"/>
          <w:sz w:val="21"/>
          <w:szCs w:val="21"/>
          <w:highlight w:val="none"/>
          <w:lang w:val="en-US" w:eastAsia="zh-CN" w:bidi="ar-SA"/>
        </w:rPr>
        <w:t>谈判响应文件</w:t>
      </w:r>
      <w:r>
        <w:rPr>
          <w:rFonts w:hint="eastAsia" w:ascii="宋体" w:hAnsi="宋体" w:eastAsia="宋体" w:cs="宋体"/>
          <w:b/>
          <w:color w:val="auto"/>
          <w:kern w:val="2"/>
          <w:sz w:val="21"/>
          <w:szCs w:val="21"/>
          <w:highlight w:val="none"/>
          <w:lang w:val="en-US" w:eastAsia="zh-CN" w:bidi="ar-SA"/>
        </w:rPr>
        <w:t>计算错误的修正</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Times New Roman" w:hAnsi="宋体"/>
          <w:b w:val="0"/>
          <w:bCs w:val="0"/>
          <w:color w:val="auto"/>
          <w:highlight w:val="none"/>
        </w:rPr>
      </w:pPr>
      <w:r>
        <w:rPr>
          <w:rFonts w:hint="eastAsia" w:hAnsi="宋体"/>
          <w:b w:val="0"/>
          <w:bCs w:val="0"/>
          <w:color w:val="auto"/>
          <w:highlight w:val="none"/>
          <w:lang w:eastAsia="zh-CN"/>
        </w:rPr>
        <w:t>谈判响应文件</w:t>
      </w:r>
      <w:r>
        <w:rPr>
          <w:rFonts w:hint="eastAsia" w:ascii="Times New Roman" w:hAnsi="宋体"/>
          <w:b w:val="0"/>
          <w:bCs w:val="0"/>
          <w:color w:val="auto"/>
          <w:highlight w:val="none"/>
        </w:rPr>
        <w:t>计算错误不予修正，按重大偏差处理。</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3</w:t>
      </w:r>
      <w:r>
        <w:rPr>
          <w:rFonts w:hint="eastAsia" w:ascii="宋体" w:hAnsi="宋体" w:cs="宋体"/>
          <w:b/>
          <w:color w:val="auto"/>
          <w:kern w:val="2"/>
          <w:sz w:val="21"/>
          <w:szCs w:val="21"/>
          <w:highlight w:val="none"/>
          <w:lang w:val="en-US" w:eastAsia="zh-CN" w:bidi="ar-SA"/>
        </w:rPr>
        <w:t>1</w:t>
      </w:r>
      <w:r>
        <w:rPr>
          <w:rFonts w:hint="eastAsia" w:ascii="宋体" w:hAnsi="宋体" w:eastAsia="宋体" w:cs="宋体"/>
          <w:b/>
          <w:color w:val="auto"/>
          <w:kern w:val="2"/>
          <w:sz w:val="21"/>
          <w:szCs w:val="21"/>
          <w:highlight w:val="none"/>
          <w:lang w:val="en-US" w:eastAsia="zh-CN" w:bidi="ar-SA"/>
        </w:rPr>
        <w:t>、</w:t>
      </w:r>
      <w:r>
        <w:rPr>
          <w:rFonts w:hint="eastAsia" w:ascii="宋体" w:hAnsi="宋体" w:cs="宋体"/>
          <w:b/>
          <w:color w:val="auto"/>
          <w:kern w:val="2"/>
          <w:sz w:val="21"/>
          <w:szCs w:val="21"/>
          <w:highlight w:val="none"/>
          <w:lang w:val="en-US" w:eastAsia="zh-CN" w:bidi="ar-SA"/>
        </w:rPr>
        <w:t>谈判响应文件</w:t>
      </w:r>
      <w:r>
        <w:rPr>
          <w:rFonts w:hint="eastAsia" w:ascii="宋体" w:hAnsi="宋体" w:eastAsia="宋体" w:cs="宋体"/>
          <w:b/>
          <w:color w:val="auto"/>
          <w:kern w:val="2"/>
          <w:sz w:val="21"/>
          <w:szCs w:val="21"/>
          <w:highlight w:val="none"/>
          <w:lang w:val="en-US" w:eastAsia="zh-CN" w:bidi="ar-SA"/>
        </w:rPr>
        <w:t>的评审、比较和否决</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w:t>
      </w:r>
      <w:r>
        <w:rPr>
          <w:rFonts w:hint="eastAsia" w:ascii="宋体" w:hAnsi="宋体" w:cs="宋体"/>
          <w:color w:val="auto"/>
          <w:szCs w:val="21"/>
          <w:highlight w:val="none"/>
          <w:lang w:eastAsia="zh-CN"/>
        </w:rPr>
        <w:t>谈判小组</w:t>
      </w:r>
      <w:r>
        <w:rPr>
          <w:rFonts w:hint="eastAsia" w:ascii="宋体" w:hAnsi="宋体" w:cs="宋体"/>
          <w:color w:val="auto"/>
          <w:szCs w:val="21"/>
          <w:highlight w:val="none"/>
        </w:rPr>
        <w:t>将按照本须知规定，仅对在实质上响应</w:t>
      </w:r>
      <w:r>
        <w:rPr>
          <w:rFonts w:hint="eastAsia" w:ascii="宋体" w:hAnsi="宋体" w:cs="宋体"/>
          <w:color w:val="auto"/>
          <w:szCs w:val="21"/>
          <w:highlight w:val="none"/>
          <w:lang w:eastAsia="zh-CN"/>
        </w:rPr>
        <w:t>竞争性谈判文件</w:t>
      </w:r>
      <w:r>
        <w:rPr>
          <w:rFonts w:hint="eastAsia" w:ascii="宋体" w:hAnsi="宋体" w:cs="宋体"/>
          <w:color w:val="auto"/>
          <w:szCs w:val="21"/>
          <w:highlight w:val="none"/>
        </w:rPr>
        <w:t>要求的</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进行评估和比较。</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.2在评审过程中</w:t>
      </w:r>
      <w:r>
        <w:rPr>
          <w:rFonts w:hint="eastAsia" w:ascii="宋体" w:hAnsi="宋体" w:cs="宋体"/>
          <w:color w:val="auto"/>
          <w:szCs w:val="21"/>
          <w:highlight w:val="none"/>
          <w:lang w:eastAsia="zh-CN"/>
        </w:rPr>
        <w:t>，谈判小组</w:t>
      </w:r>
      <w:r>
        <w:rPr>
          <w:rFonts w:hint="eastAsia" w:ascii="宋体" w:hAnsi="宋体" w:cs="宋体"/>
          <w:color w:val="auto"/>
          <w:szCs w:val="21"/>
          <w:highlight w:val="none"/>
        </w:rPr>
        <w:t>可以通过电子交易系统对谈判响应人进行询标，要求</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就</w:t>
      </w:r>
      <w:r>
        <w:rPr>
          <w:rFonts w:hint="eastAsia" w:ascii="宋体" w:hAnsi="宋体" w:cs="宋体"/>
          <w:color w:val="auto"/>
          <w:szCs w:val="21"/>
          <w:highlight w:val="none"/>
          <w:lang w:eastAsia="zh-CN"/>
        </w:rPr>
        <w:t>谈判响应文件</w:t>
      </w:r>
      <w:r>
        <w:rPr>
          <w:rFonts w:hint="eastAsia" w:ascii="宋体" w:hAnsi="宋体" w:cs="宋体"/>
          <w:color w:val="auto"/>
          <w:szCs w:val="21"/>
          <w:highlight w:val="none"/>
        </w:rPr>
        <w:t>中含义不明确的内容进行说明并提供相关材料</w:t>
      </w:r>
      <w:r>
        <w:rPr>
          <w:rFonts w:hint="eastAsia" w:ascii="宋体" w:hAnsi="宋体" w:cs="宋体"/>
          <w:color w:val="auto"/>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根据</w:t>
      </w:r>
      <w:r>
        <w:rPr>
          <w:rFonts w:hint="eastAsia" w:ascii="宋体" w:hAnsi="宋体" w:cs="宋体"/>
          <w:color w:val="auto"/>
          <w:szCs w:val="21"/>
          <w:highlight w:val="none"/>
          <w:lang w:eastAsia="zh-CN"/>
        </w:rPr>
        <w:t>谈判小组</w:t>
      </w:r>
      <w:r>
        <w:rPr>
          <w:rFonts w:hint="eastAsia" w:ascii="宋体" w:hAnsi="宋体" w:cs="宋体"/>
          <w:color w:val="auto"/>
          <w:szCs w:val="21"/>
          <w:highlight w:val="none"/>
        </w:rPr>
        <w:t>提出的书面</w:t>
      </w:r>
      <w:r>
        <w:rPr>
          <w:rFonts w:hint="eastAsia" w:ascii="宋体" w:hAnsi="宋体" w:cs="宋体"/>
          <w:color w:val="auto"/>
          <w:szCs w:val="21"/>
          <w:highlight w:val="none"/>
          <w:lang w:eastAsia="zh-CN"/>
        </w:rPr>
        <w:t>评审报告</w:t>
      </w:r>
      <w:r>
        <w:rPr>
          <w:rFonts w:hint="eastAsia" w:ascii="宋体" w:hAnsi="宋体" w:cs="宋体"/>
          <w:color w:val="auto"/>
          <w:szCs w:val="21"/>
          <w:highlight w:val="none"/>
        </w:rPr>
        <w:t>和推荐的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，依据国家和地方现行法规确定</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也可以授权</w:t>
      </w:r>
      <w:r>
        <w:rPr>
          <w:rFonts w:hint="eastAsia" w:ascii="宋体" w:hAnsi="宋体" w:cs="宋体"/>
          <w:color w:val="auto"/>
          <w:szCs w:val="21"/>
          <w:highlight w:val="none"/>
          <w:lang w:eastAsia="zh-CN"/>
        </w:rPr>
        <w:t>谈判小组</w:t>
      </w:r>
      <w:r>
        <w:rPr>
          <w:rFonts w:hint="eastAsia" w:ascii="宋体" w:hAnsi="宋体" w:cs="宋体"/>
          <w:color w:val="auto"/>
          <w:szCs w:val="21"/>
          <w:highlight w:val="none"/>
        </w:rPr>
        <w:t>依据现行法规直接确定</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.4</w:t>
      </w:r>
      <w:r>
        <w:rPr>
          <w:rFonts w:hint="eastAsia" w:ascii="宋体" w:hAnsi="宋体" w:cs="宋体"/>
          <w:color w:val="auto"/>
          <w:szCs w:val="21"/>
          <w:highlight w:val="none"/>
          <w:lang w:eastAsia="zh-CN"/>
        </w:rPr>
        <w:t>谈判小组</w:t>
      </w:r>
      <w:r>
        <w:rPr>
          <w:rFonts w:hint="eastAsia" w:ascii="宋体" w:hAnsi="宋体" w:cs="宋体"/>
          <w:color w:val="auto"/>
          <w:szCs w:val="21"/>
          <w:highlight w:val="none"/>
        </w:rPr>
        <w:t>经评审，认为所有</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都不符合</w:t>
      </w:r>
      <w:r>
        <w:rPr>
          <w:rFonts w:hint="eastAsia" w:ascii="宋体" w:hAnsi="宋体" w:cs="宋体"/>
          <w:color w:val="auto"/>
          <w:szCs w:val="21"/>
          <w:highlight w:val="none"/>
          <w:lang w:eastAsia="zh-CN"/>
        </w:rPr>
        <w:t>竞争性谈判文件</w:t>
      </w:r>
      <w:r>
        <w:rPr>
          <w:rFonts w:hint="eastAsia" w:ascii="宋体" w:hAnsi="宋体" w:cs="宋体"/>
          <w:color w:val="auto"/>
          <w:szCs w:val="21"/>
          <w:highlight w:val="none"/>
        </w:rPr>
        <w:t>要求的，可以否决所有</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。所有</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被否决后，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应当依法重新</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hAnsi="宋体" w:cs="宋体"/>
          <w:color w:val="auto"/>
          <w:highlight w:val="none"/>
        </w:rPr>
      </w:pPr>
      <w:r>
        <w:rPr>
          <w:rFonts w:hint="eastAsia" w:ascii="宋体" w:hAnsi="宋体" w:eastAsia="宋体" w:cs="宋体"/>
          <w:b/>
          <w:color w:val="auto"/>
          <w:kern w:val="2"/>
          <w:sz w:val="21"/>
          <w:szCs w:val="21"/>
          <w:highlight w:val="none"/>
          <w:lang w:val="en-US" w:eastAsia="zh-CN" w:bidi="ar-SA"/>
        </w:rPr>
        <w:t>3</w:t>
      </w:r>
      <w:r>
        <w:rPr>
          <w:rFonts w:hint="eastAsia" w:ascii="宋体" w:hAnsi="宋体" w:cs="宋体"/>
          <w:b/>
          <w:color w:val="auto"/>
          <w:kern w:val="2"/>
          <w:sz w:val="21"/>
          <w:szCs w:val="21"/>
          <w:highlight w:val="none"/>
          <w:lang w:val="en-US" w:eastAsia="zh-CN" w:bidi="ar-SA"/>
        </w:rPr>
        <w:t>2</w:t>
      </w:r>
      <w:r>
        <w:rPr>
          <w:rFonts w:hint="eastAsia" w:ascii="宋体" w:hAnsi="宋体" w:eastAsia="宋体" w:cs="宋体"/>
          <w:b/>
          <w:color w:val="auto"/>
          <w:kern w:val="2"/>
          <w:sz w:val="21"/>
          <w:szCs w:val="21"/>
          <w:highlight w:val="none"/>
          <w:lang w:val="en-US" w:eastAsia="zh-CN" w:bidi="ar-SA"/>
        </w:rPr>
        <w:t>、</w:t>
      </w:r>
      <w:r>
        <w:rPr>
          <w:rFonts w:hint="eastAsia" w:ascii="宋体" w:hAnsi="宋体" w:cs="宋体"/>
          <w:b/>
          <w:color w:val="auto"/>
          <w:kern w:val="2"/>
          <w:sz w:val="21"/>
          <w:szCs w:val="21"/>
          <w:highlight w:val="none"/>
          <w:lang w:val="en-US" w:eastAsia="zh-CN" w:bidi="ar-SA"/>
        </w:rPr>
        <w:t>谈判</w:t>
      </w:r>
      <w:r>
        <w:rPr>
          <w:rFonts w:hint="eastAsia" w:ascii="宋体" w:hAnsi="宋体" w:eastAsia="宋体" w:cs="宋体"/>
          <w:b/>
          <w:color w:val="auto"/>
          <w:kern w:val="2"/>
          <w:sz w:val="21"/>
          <w:szCs w:val="21"/>
          <w:highlight w:val="none"/>
          <w:lang w:val="en-US" w:eastAsia="zh-CN" w:bidi="ar-SA"/>
        </w:rPr>
        <w:t>标准和程序</w:t>
      </w:r>
    </w:p>
    <w:p>
      <w:pPr>
        <w:pStyle w:val="16"/>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Ansi="宋体" w:cs="宋体"/>
          <w:color w:val="auto"/>
          <w:highlight w:val="none"/>
        </w:rPr>
      </w:pPr>
      <w:r>
        <w:rPr>
          <w:rFonts w:hint="eastAsia" w:hAnsi="宋体" w:cs="宋体"/>
          <w:color w:val="auto"/>
          <w:highlight w:val="none"/>
          <w:lang w:eastAsia="zh-CN"/>
        </w:rPr>
        <w:t>3</w:t>
      </w:r>
      <w:r>
        <w:rPr>
          <w:rFonts w:hint="eastAsia" w:hAnsi="宋体" w:cs="宋体"/>
          <w:color w:val="auto"/>
          <w:highlight w:val="none"/>
          <w:lang w:val="en-US" w:eastAsia="zh-CN"/>
        </w:rPr>
        <w:t>2</w:t>
      </w:r>
      <w:r>
        <w:rPr>
          <w:rFonts w:hAnsi="宋体" w:cs="宋体"/>
          <w:color w:val="auto"/>
          <w:highlight w:val="none"/>
        </w:rPr>
        <w:t>.</w:t>
      </w:r>
      <w:r>
        <w:rPr>
          <w:rFonts w:hint="eastAsia" w:hAnsi="宋体" w:cs="宋体"/>
          <w:color w:val="auto"/>
          <w:highlight w:val="none"/>
          <w:lang w:val="en-US" w:eastAsia="zh-CN"/>
        </w:rPr>
        <w:t>1</w:t>
      </w:r>
      <w:r>
        <w:rPr>
          <w:rFonts w:hAnsi="宋体" w:cs="宋体"/>
          <w:color w:val="auto"/>
          <w:highlight w:val="none"/>
        </w:rPr>
        <w:t>.</w:t>
      </w:r>
      <w:r>
        <w:rPr>
          <w:rFonts w:hint="eastAsia" w:hAnsi="宋体" w:cs="宋体"/>
          <w:color w:val="auto"/>
          <w:highlight w:val="none"/>
        </w:rPr>
        <w:t>1</w:t>
      </w:r>
      <w:r>
        <w:rPr>
          <w:rFonts w:hint="eastAsia" w:hAnsi="宋体" w:cs="宋体"/>
          <w:color w:val="auto"/>
          <w:highlight w:val="none"/>
          <w:lang w:eastAsia="zh-CN"/>
        </w:rPr>
        <w:t>资格审查、商务标初步评审及</w:t>
      </w:r>
      <w:r>
        <w:rPr>
          <w:rFonts w:hAnsi="宋体" w:cs="宋体"/>
          <w:color w:val="auto"/>
          <w:highlight w:val="none"/>
        </w:rPr>
        <w:t>技术标评审</w:t>
      </w:r>
    </w:p>
    <w:p>
      <w:pPr>
        <w:pStyle w:val="16"/>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Ansi="宋体" w:cs="宋体"/>
          <w:color w:val="auto"/>
          <w:highlight w:val="none"/>
        </w:rPr>
      </w:pPr>
      <w:r>
        <w:rPr>
          <w:rFonts w:hAnsi="宋体" w:cs="宋体"/>
          <w:color w:val="auto"/>
          <w:highlight w:val="none"/>
        </w:rPr>
        <w:t>由</w:t>
      </w:r>
      <w:r>
        <w:rPr>
          <w:rFonts w:hint="eastAsia" w:hAnsi="宋体" w:cs="宋体"/>
          <w:color w:val="auto"/>
          <w:highlight w:val="none"/>
        </w:rPr>
        <w:t>谈判小组</w:t>
      </w:r>
      <w:r>
        <w:rPr>
          <w:rFonts w:hAnsi="宋体" w:cs="宋体"/>
          <w:color w:val="auto"/>
          <w:highlight w:val="none"/>
        </w:rPr>
        <w:t>对</w:t>
      </w:r>
      <w:r>
        <w:rPr>
          <w:rFonts w:hint="eastAsia" w:hAnsi="宋体" w:cs="宋体"/>
          <w:color w:val="auto"/>
          <w:highlight w:val="none"/>
        </w:rPr>
        <w:t>谈判响应人谈判响应文件</w:t>
      </w:r>
      <w:r>
        <w:rPr>
          <w:rFonts w:hAnsi="宋体" w:cs="宋体"/>
          <w:color w:val="auto"/>
          <w:highlight w:val="none"/>
        </w:rPr>
        <w:t>进行</w:t>
      </w:r>
      <w:r>
        <w:rPr>
          <w:rFonts w:hint="eastAsia" w:hAnsi="宋体" w:cs="宋体"/>
          <w:color w:val="auto"/>
          <w:highlight w:val="none"/>
          <w:lang w:eastAsia="zh-CN"/>
        </w:rPr>
        <w:t>资格审查、商务标初步评审及</w:t>
      </w:r>
      <w:r>
        <w:rPr>
          <w:rFonts w:hAnsi="宋体" w:cs="宋体"/>
          <w:color w:val="auto"/>
          <w:highlight w:val="none"/>
        </w:rPr>
        <w:t>技术标评审，评审结论分为通过和不予通过。对否定的</w:t>
      </w:r>
      <w:r>
        <w:rPr>
          <w:rFonts w:hint="eastAsia" w:hAnsi="宋体" w:cs="宋体"/>
          <w:color w:val="auto"/>
          <w:highlight w:val="none"/>
          <w:lang w:eastAsia="zh-CN"/>
        </w:rPr>
        <w:t>谈判响应文件</w:t>
      </w:r>
      <w:r>
        <w:rPr>
          <w:rFonts w:hAnsi="宋体" w:cs="宋体"/>
          <w:color w:val="auto"/>
          <w:highlight w:val="none"/>
        </w:rPr>
        <w:t>，</w:t>
      </w:r>
      <w:r>
        <w:rPr>
          <w:rFonts w:hint="eastAsia" w:hAnsi="宋体" w:cs="宋体"/>
          <w:color w:val="auto"/>
          <w:highlight w:val="none"/>
        </w:rPr>
        <w:t>谈判小组成员</w:t>
      </w:r>
      <w:r>
        <w:rPr>
          <w:rFonts w:hAnsi="宋体" w:cs="宋体"/>
          <w:color w:val="auto"/>
          <w:highlight w:val="none"/>
        </w:rPr>
        <w:t>要提出充足的否定理由，并填写</w:t>
      </w:r>
      <w:r>
        <w:rPr>
          <w:rFonts w:hint="eastAsia" w:hAnsi="宋体" w:cs="宋体"/>
          <w:color w:val="auto"/>
          <w:highlight w:val="none"/>
          <w:lang w:eastAsia="zh-CN"/>
        </w:rPr>
        <w:t>在评审报告里</w:t>
      </w:r>
      <w:r>
        <w:rPr>
          <w:rFonts w:hAnsi="宋体" w:cs="宋体"/>
          <w:color w:val="auto"/>
          <w:highlight w:val="none"/>
        </w:rPr>
        <w:t>；对出现认定异议的，按照少数服从多数的原则由</w:t>
      </w:r>
      <w:r>
        <w:rPr>
          <w:rFonts w:hint="eastAsia" w:hAnsi="宋体" w:cs="宋体"/>
          <w:color w:val="auto"/>
          <w:highlight w:val="none"/>
        </w:rPr>
        <w:t>谈判小组</w:t>
      </w:r>
      <w:r>
        <w:rPr>
          <w:rFonts w:hAnsi="宋体" w:cs="宋体"/>
          <w:color w:val="auto"/>
          <w:highlight w:val="none"/>
        </w:rPr>
        <w:t>采取投票方式表决确定。</w:t>
      </w: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pStyle w:val="16"/>
        <w:keepNext w:val="0"/>
        <w:keepLines w:val="0"/>
        <w:pageBreakBefore w:val="0"/>
        <w:kinsoku/>
        <w:wordWrap/>
        <w:overflowPunct/>
        <w:topLinePunct w:val="0"/>
        <w:autoSpaceDE/>
        <w:autoSpaceDN/>
        <w:bidi w:val="0"/>
        <w:adjustRightInd/>
        <w:snapToGrid/>
        <w:spacing w:line="440" w:lineRule="exact"/>
        <w:textAlignment w:val="auto"/>
        <w:rPr>
          <w:rFonts w:hAnsi="宋体" w:cs="宋体"/>
          <w:color w:val="auto"/>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jc w:val="center"/>
        <w:textAlignment w:val="auto"/>
        <w:outlineLvl w:val="9"/>
        <w:rPr>
          <w:rFonts w:ascii="宋体" w:hAnsi="宋体"/>
          <w:b/>
          <w:color w:val="auto"/>
          <w:kern w:val="10"/>
          <w:sz w:val="30"/>
          <w:szCs w:val="30"/>
          <w:highlight w:val="none"/>
        </w:rPr>
      </w:pPr>
      <w:r>
        <w:rPr>
          <w:rFonts w:hint="eastAsia" w:ascii="宋体" w:hAnsi="宋体"/>
          <w:b/>
          <w:color w:val="auto"/>
          <w:kern w:val="10"/>
          <w:sz w:val="30"/>
          <w:szCs w:val="30"/>
          <w:highlight w:val="none"/>
        </w:rPr>
        <w:t>资格审查和初步评审表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3094"/>
        <w:gridCol w:w="5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706" w:type="dxa"/>
            <w:vMerge w:val="restar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094" w:type="dxa"/>
            <w:vMerge w:val="restar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评审指标</w:t>
            </w:r>
          </w:p>
        </w:tc>
        <w:tc>
          <w:tcPr>
            <w:tcW w:w="5273" w:type="dxa"/>
            <w:vMerge w:val="restar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 审 内 容 及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exact"/>
          <w:jc w:val="center"/>
        </w:trPr>
        <w:tc>
          <w:tcPr>
            <w:tcW w:w="706"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ascii="宋体" w:hAnsi="宋体" w:eastAsia="宋体" w:cs="宋体"/>
                <w:b/>
                <w:color w:val="auto"/>
                <w:sz w:val="21"/>
                <w:szCs w:val="21"/>
                <w:highlight w:val="none"/>
              </w:rPr>
            </w:pPr>
          </w:p>
        </w:tc>
        <w:tc>
          <w:tcPr>
            <w:tcW w:w="3094"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ascii="宋体" w:hAnsi="宋体" w:eastAsia="宋体" w:cs="宋体"/>
                <w:b/>
                <w:color w:val="auto"/>
                <w:sz w:val="21"/>
                <w:szCs w:val="21"/>
                <w:highlight w:val="none"/>
              </w:rPr>
            </w:pPr>
          </w:p>
        </w:tc>
        <w:tc>
          <w:tcPr>
            <w:tcW w:w="5273"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6"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3094"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eastAsia="zh-CN"/>
              </w:rPr>
              <w:t>谈判响应人</w:t>
            </w:r>
            <w:r>
              <w:rPr>
                <w:rFonts w:hint="eastAsia" w:ascii="宋体" w:hAnsi="宋体" w:eastAsia="宋体" w:cs="宋体"/>
                <w:color w:val="auto"/>
                <w:sz w:val="21"/>
                <w:szCs w:val="21"/>
                <w:highlight w:val="none"/>
              </w:rPr>
              <w:t>名称</w:t>
            </w:r>
          </w:p>
        </w:tc>
        <w:tc>
          <w:tcPr>
            <w:tcW w:w="5273"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是否与</w:t>
            </w:r>
            <w:r>
              <w:rPr>
                <w:rFonts w:hint="eastAsia" w:ascii="宋体" w:hAnsi="宋体" w:eastAsia="宋体" w:cs="宋体"/>
                <w:color w:val="auto"/>
                <w:sz w:val="21"/>
                <w:szCs w:val="21"/>
                <w:highlight w:val="none"/>
                <w:lang w:val="en-US" w:eastAsia="zh-CN"/>
              </w:rPr>
              <w:t>法人</w:t>
            </w:r>
            <w:r>
              <w:rPr>
                <w:rFonts w:hint="eastAsia" w:ascii="宋体" w:hAnsi="宋体" w:eastAsia="宋体" w:cs="宋体"/>
                <w:color w:val="auto"/>
                <w:sz w:val="21"/>
                <w:szCs w:val="21"/>
                <w:highlight w:val="none"/>
              </w:rPr>
              <w:t>营业执照、资质证书、安全生产许可证一致</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6"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3094"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法人</w:t>
            </w:r>
            <w:r>
              <w:rPr>
                <w:rFonts w:hint="eastAsia" w:ascii="宋体" w:hAnsi="宋体" w:eastAsia="宋体" w:cs="宋体"/>
                <w:color w:val="auto"/>
                <w:sz w:val="21"/>
                <w:szCs w:val="21"/>
                <w:highlight w:val="none"/>
              </w:rPr>
              <w:t>营业执照</w:t>
            </w:r>
          </w:p>
        </w:tc>
        <w:tc>
          <w:tcPr>
            <w:tcW w:w="5273"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是否具备有效的</w:t>
            </w:r>
            <w:r>
              <w:rPr>
                <w:rFonts w:hint="eastAsia" w:ascii="宋体" w:hAnsi="宋体" w:eastAsia="宋体" w:cs="宋体"/>
                <w:color w:val="auto"/>
                <w:sz w:val="21"/>
                <w:szCs w:val="21"/>
                <w:highlight w:val="none"/>
                <w:lang w:val="en-US" w:eastAsia="zh-CN"/>
              </w:rPr>
              <w:t>法人</w:t>
            </w:r>
            <w:r>
              <w:rPr>
                <w:rFonts w:hint="eastAsia" w:ascii="宋体" w:hAnsi="宋体" w:eastAsia="宋体" w:cs="宋体"/>
                <w:color w:val="auto"/>
                <w:sz w:val="21"/>
                <w:szCs w:val="21"/>
                <w:highlight w:val="none"/>
              </w:rPr>
              <w:t>营业执照</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6"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3094"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安全生产许可证</w:t>
            </w:r>
          </w:p>
        </w:tc>
        <w:tc>
          <w:tcPr>
            <w:tcW w:w="5273"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是否具备有效的生产许可证</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6"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3094"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eastAsia="zh-CN"/>
              </w:rPr>
              <w:t>谈判响应人</w:t>
            </w:r>
            <w:r>
              <w:rPr>
                <w:rFonts w:hint="eastAsia" w:ascii="宋体" w:hAnsi="宋体" w:eastAsia="宋体" w:cs="宋体"/>
                <w:color w:val="auto"/>
                <w:sz w:val="21"/>
                <w:szCs w:val="21"/>
                <w:highlight w:val="none"/>
                <w:lang w:eastAsia="zh-CN"/>
              </w:rPr>
              <w:t>资格</w:t>
            </w:r>
          </w:p>
        </w:tc>
        <w:tc>
          <w:tcPr>
            <w:tcW w:w="5273"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是否符合“</w:t>
            </w:r>
            <w:r>
              <w:rPr>
                <w:rFonts w:hint="eastAsia" w:ascii="宋体" w:hAnsi="宋体" w:cs="宋体"/>
                <w:color w:val="auto"/>
                <w:sz w:val="21"/>
                <w:szCs w:val="21"/>
                <w:highlight w:val="none"/>
                <w:lang w:eastAsia="zh-CN"/>
              </w:rPr>
              <w:t>谈判响应人</w:t>
            </w:r>
            <w:r>
              <w:rPr>
                <w:rFonts w:hint="eastAsia" w:ascii="宋体" w:hAnsi="宋体" w:eastAsia="宋体" w:cs="宋体"/>
                <w:color w:val="auto"/>
                <w:sz w:val="21"/>
                <w:szCs w:val="21"/>
                <w:highlight w:val="none"/>
              </w:rPr>
              <w:t>须知前附表”规定</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6"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3094"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项目经理资格、业绩等</w:t>
            </w:r>
          </w:p>
        </w:tc>
        <w:tc>
          <w:tcPr>
            <w:tcW w:w="5273"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是否符合“</w:t>
            </w:r>
            <w:r>
              <w:rPr>
                <w:rFonts w:hint="eastAsia" w:ascii="宋体" w:hAnsi="宋体" w:cs="宋体"/>
                <w:color w:val="auto"/>
                <w:sz w:val="21"/>
                <w:szCs w:val="21"/>
                <w:highlight w:val="none"/>
                <w:lang w:eastAsia="zh-CN"/>
              </w:rPr>
              <w:t>谈判响应人</w:t>
            </w:r>
            <w:r>
              <w:rPr>
                <w:rFonts w:hint="eastAsia" w:ascii="宋体" w:hAnsi="宋体" w:eastAsia="宋体" w:cs="宋体"/>
                <w:color w:val="auto"/>
                <w:sz w:val="21"/>
                <w:szCs w:val="21"/>
                <w:highlight w:val="none"/>
              </w:rPr>
              <w:t>须知前附表”规定</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exact"/>
          <w:jc w:val="center"/>
        </w:trPr>
        <w:tc>
          <w:tcPr>
            <w:tcW w:w="706"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3094"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技术标</w:t>
            </w:r>
            <w:r>
              <w:rPr>
                <w:rFonts w:hint="eastAsia" w:ascii="宋体" w:hAnsi="宋体" w:cs="宋体"/>
                <w:color w:val="auto"/>
                <w:kern w:val="10"/>
                <w:sz w:val="21"/>
                <w:szCs w:val="21"/>
                <w:highlight w:val="none"/>
                <w:lang w:eastAsia="zh-CN"/>
              </w:rPr>
              <w:t>谈判响应文件</w:t>
            </w:r>
            <w:r>
              <w:rPr>
                <w:rFonts w:hint="eastAsia" w:ascii="宋体" w:hAnsi="宋体" w:eastAsia="宋体" w:cs="宋体"/>
                <w:color w:val="auto"/>
                <w:kern w:val="10"/>
                <w:sz w:val="21"/>
                <w:szCs w:val="21"/>
                <w:highlight w:val="none"/>
              </w:rPr>
              <w:t>格式</w:t>
            </w:r>
          </w:p>
        </w:tc>
        <w:tc>
          <w:tcPr>
            <w:tcW w:w="527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olor w:val="auto"/>
                <w:kern w:val="10"/>
                <w:sz w:val="21"/>
                <w:szCs w:val="21"/>
                <w:highlight w:val="none"/>
                <w:lang w:eastAsia="zh-CN"/>
              </w:rPr>
            </w:pPr>
            <w:r>
              <w:rPr>
                <w:rFonts w:hint="eastAsia" w:ascii="宋体" w:hAnsi="宋体" w:eastAsia="宋体" w:cs="宋体"/>
                <w:color w:val="auto"/>
                <w:kern w:val="10"/>
                <w:sz w:val="21"/>
                <w:szCs w:val="21"/>
                <w:highlight w:val="none"/>
              </w:rPr>
              <w:t>技术标</w:t>
            </w:r>
            <w:r>
              <w:rPr>
                <w:rFonts w:hint="eastAsia" w:ascii="宋体" w:hAnsi="宋体" w:cs="宋体"/>
                <w:color w:val="auto"/>
                <w:kern w:val="10"/>
                <w:sz w:val="21"/>
                <w:szCs w:val="21"/>
                <w:highlight w:val="none"/>
                <w:lang w:eastAsia="zh-CN"/>
              </w:rPr>
              <w:t>谈判响应文件</w:t>
            </w:r>
            <w:r>
              <w:rPr>
                <w:rFonts w:hint="eastAsia" w:ascii="宋体" w:hAnsi="宋体" w:eastAsia="宋体" w:cs="宋体"/>
                <w:color w:val="auto"/>
                <w:kern w:val="10"/>
                <w:sz w:val="21"/>
                <w:szCs w:val="21"/>
                <w:highlight w:val="none"/>
              </w:rPr>
              <w:t>按</w:t>
            </w:r>
            <w:r>
              <w:rPr>
                <w:rFonts w:hint="eastAsia" w:ascii="宋体" w:hAnsi="宋体" w:cs="宋体"/>
                <w:color w:val="auto"/>
                <w:kern w:val="10"/>
                <w:sz w:val="21"/>
                <w:szCs w:val="21"/>
                <w:highlight w:val="none"/>
                <w:lang w:eastAsia="zh-CN"/>
              </w:rPr>
              <w:t>竞争性谈判文件</w:t>
            </w:r>
            <w:r>
              <w:rPr>
                <w:rFonts w:hint="eastAsia" w:ascii="宋体" w:hAnsi="宋体" w:eastAsia="宋体" w:cs="宋体"/>
                <w:color w:val="auto"/>
                <w:kern w:val="10"/>
                <w:sz w:val="21"/>
                <w:szCs w:val="21"/>
                <w:highlight w:val="none"/>
                <w:lang w:eastAsia="zh-CN"/>
              </w:rPr>
              <w:t>约定</w:t>
            </w:r>
            <w:r>
              <w:rPr>
                <w:rFonts w:hint="eastAsia" w:ascii="宋体" w:hAnsi="宋体" w:eastAsia="宋体" w:cs="宋体"/>
                <w:color w:val="auto"/>
                <w:kern w:val="10"/>
                <w:sz w:val="21"/>
                <w:szCs w:val="21"/>
                <w:highlight w:val="none"/>
              </w:rPr>
              <w:t>的格式填写，内容完整不得影响</w:t>
            </w:r>
            <w:r>
              <w:rPr>
                <w:rFonts w:hint="eastAsia" w:ascii="宋体" w:hAnsi="宋体" w:cs="宋体"/>
                <w:color w:val="auto"/>
                <w:kern w:val="10"/>
                <w:sz w:val="21"/>
                <w:szCs w:val="21"/>
                <w:highlight w:val="none"/>
                <w:lang w:eastAsia="zh-CN"/>
              </w:rPr>
              <w:t>谈判响应文件</w:t>
            </w:r>
            <w:r>
              <w:rPr>
                <w:rFonts w:hint="eastAsia" w:ascii="宋体" w:hAnsi="宋体" w:eastAsia="宋体" w:cs="宋体"/>
                <w:color w:val="auto"/>
                <w:kern w:val="10"/>
                <w:sz w:val="21"/>
                <w:szCs w:val="21"/>
                <w:highlight w:val="none"/>
              </w:rPr>
              <w:t>评审，且不得出现关键字迹模糊、无法辨认等情况</w:t>
            </w:r>
            <w:r>
              <w:rPr>
                <w:rFonts w:hint="eastAsia" w:ascii="宋体" w:hAnsi="宋体" w:eastAsia="宋体" w:cs="宋体"/>
                <w:color w:val="auto"/>
                <w:kern w:val="10"/>
                <w:sz w:val="21"/>
                <w:szCs w:val="21"/>
                <w:highlight w:val="none"/>
                <w:lang w:eastAsia="zh-CN"/>
              </w:rPr>
              <w:t>，签字或</w:t>
            </w:r>
            <w:r>
              <w:rPr>
                <w:rFonts w:hint="eastAsia" w:ascii="宋体" w:hAnsi="宋体" w:eastAsia="宋体" w:cs="宋体"/>
                <w:color w:val="auto"/>
                <w:kern w:val="10"/>
                <w:sz w:val="21"/>
                <w:szCs w:val="21"/>
                <w:highlight w:val="none"/>
              </w:rPr>
              <w:t>盖章要求应符合</w:t>
            </w:r>
            <w:r>
              <w:rPr>
                <w:rFonts w:hint="eastAsia" w:ascii="宋体" w:hAnsi="宋体" w:cs="宋体"/>
                <w:color w:val="auto"/>
                <w:kern w:val="10"/>
                <w:sz w:val="21"/>
                <w:szCs w:val="21"/>
                <w:highlight w:val="none"/>
                <w:lang w:eastAsia="zh-CN"/>
              </w:rPr>
              <w:t>竞争性谈判文件</w:t>
            </w:r>
            <w:r>
              <w:rPr>
                <w:rFonts w:hint="eastAsia" w:ascii="宋体" w:hAnsi="宋体" w:eastAsia="宋体" w:cs="宋体"/>
                <w:color w:val="auto"/>
                <w:kern w:val="10"/>
                <w:sz w:val="21"/>
                <w:szCs w:val="21"/>
                <w:highlight w:val="none"/>
                <w:lang w:eastAsia="zh-CN"/>
              </w:rPr>
              <w:t>约</w:t>
            </w:r>
            <w:r>
              <w:rPr>
                <w:rFonts w:hint="eastAsia" w:ascii="宋体" w:hAnsi="宋体" w:eastAsia="宋体" w:cs="宋体"/>
                <w:color w:val="auto"/>
                <w:kern w:val="10"/>
                <w:sz w:val="21"/>
                <w:szCs w:val="21"/>
                <w:highlight w:val="none"/>
              </w:rPr>
              <w:t>定的</w:t>
            </w:r>
            <w:r>
              <w:rPr>
                <w:rFonts w:hint="eastAsia" w:ascii="宋体" w:hAnsi="宋体" w:eastAsia="宋体" w:cs="宋体"/>
                <w:color w:val="auto"/>
                <w:kern w:val="10"/>
                <w:sz w:val="21"/>
                <w:szCs w:val="21"/>
                <w:highlight w:val="none"/>
                <w:lang w:eastAsia="zh-CN"/>
              </w:rPr>
              <w:t>签字或</w:t>
            </w:r>
            <w:r>
              <w:rPr>
                <w:rFonts w:hint="eastAsia" w:ascii="宋体" w:hAnsi="宋体" w:eastAsia="宋体" w:cs="宋体"/>
                <w:color w:val="auto"/>
                <w:kern w:val="10"/>
                <w:sz w:val="21"/>
                <w:szCs w:val="21"/>
                <w:highlight w:val="none"/>
              </w:rPr>
              <w:t>盖章要求</w:t>
            </w:r>
            <w:r>
              <w:rPr>
                <w:rFonts w:hint="eastAsia" w:ascii="宋体" w:hAnsi="宋体" w:cs="宋体"/>
                <w:bCs/>
                <w:color w:val="auto"/>
                <w:kern w:val="10"/>
                <w:sz w:val="21"/>
                <w:szCs w:val="21"/>
                <w:highlight w:val="none"/>
                <w:lang w:eastAsia="zh-CN"/>
              </w:rPr>
              <w:t>（</w:t>
            </w:r>
            <w:r>
              <w:rPr>
                <w:rFonts w:hint="eastAsia" w:ascii="宋体" w:hAnsi="宋体" w:cs="宋体"/>
                <w:bCs/>
                <w:color w:val="auto"/>
                <w:kern w:val="10"/>
                <w:sz w:val="21"/>
                <w:szCs w:val="21"/>
                <w:highlight w:val="none"/>
                <w:lang w:val="en-US" w:eastAsia="zh-CN"/>
              </w:rPr>
              <w:t>另有约定的除外</w:t>
            </w:r>
            <w:r>
              <w:rPr>
                <w:rFonts w:hint="eastAsia" w:ascii="宋体" w:hAnsi="宋体" w:cs="宋体"/>
                <w:bCs/>
                <w:color w:val="auto"/>
                <w:kern w:val="10"/>
                <w:sz w:val="21"/>
                <w:szCs w:val="21"/>
                <w:highlight w:val="none"/>
                <w:lang w:eastAsia="zh-CN"/>
              </w:rPr>
              <w:t>）</w:t>
            </w:r>
            <w:r>
              <w:rPr>
                <w:rFonts w:hint="eastAsia" w:ascii="宋体" w:hAnsi="宋体" w:eastAsia="宋体" w:cs="宋体"/>
                <w:bCs/>
                <w:color w:val="auto"/>
                <w:kern w:val="1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exact"/>
          <w:jc w:val="center"/>
        </w:trPr>
        <w:tc>
          <w:tcPr>
            <w:tcW w:w="706"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3094"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eastAsia" w:ascii="宋体" w:hAnsi="宋体" w:eastAsia="宋体" w:cs="宋体"/>
                <w:color w:val="auto"/>
                <w:kern w:val="10"/>
                <w:sz w:val="21"/>
                <w:szCs w:val="21"/>
                <w:highlight w:val="none"/>
                <w:lang w:val="en-US" w:eastAsia="zh-CN"/>
              </w:rPr>
            </w:pPr>
            <w:r>
              <w:rPr>
                <w:rFonts w:hint="eastAsia" w:ascii="宋体" w:hAnsi="宋体" w:cs="宋体"/>
                <w:color w:val="auto"/>
                <w:kern w:val="10"/>
                <w:sz w:val="21"/>
                <w:szCs w:val="21"/>
                <w:highlight w:val="none"/>
                <w:lang w:val="en-US" w:eastAsia="zh-CN"/>
              </w:rPr>
              <w:t>其他</w:t>
            </w:r>
          </w:p>
        </w:tc>
        <w:tc>
          <w:tcPr>
            <w:tcW w:w="527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olor w:val="auto"/>
                <w:kern w:val="10"/>
                <w:sz w:val="21"/>
                <w:szCs w:val="21"/>
                <w:highlight w:val="none"/>
                <w:lang w:eastAsia="zh-CN"/>
              </w:rPr>
            </w:pPr>
            <w:r>
              <w:rPr>
                <w:rFonts w:hint="eastAsia" w:ascii="宋体" w:hAnsi="宋体" w:eastAsia="宋体" w:cs="宋体"/>
                <w:color w:val="auto"/>
                <w:kern w:val="10"/>
                <w:sz w:val="21"/>
                <w:szCs w:val="21"/>
                <w:highlight w:val="none"/>
                <w:lang w:eastAsia="zh-CN"/>
              </w:rPr>
              <w:t>是否符合</w:t>
            </w:r>
            <w:r>
              <w:rPr>
                <w:rFonts w:hint="eastAsia" w:ascii="宋体" w:hAnsi="宋体" w:cs="宋体"/>
                <w:color w:val="auto"/>
                <w:kern w:val="10"/>
                <w:sz w:val="21"/>
                <w:szCs w:val="21"/>
                <w:highlight w:val="none"/>
                <w:lang w:eastAsia="zh-CN"/>
              </w:rPr>
              <w:t>谈判响应人</w:t>
            </w:r>
            <w:r>
              <w:rPr>
                <w:rFonts w:hint="eastAsia" w:ascii="宋体" w:hAnsi="宋体" w:eastAsia="宋体" w:cs="宋体"/>
                <w:color w:val="auto"/>
                <w:kern w:val="10"/>
                <w:sz w:val="21"/>
                <w:szCs w:val="21"/>
                <w:highlight w:val="none"/>
                <w:lang w:eastAsia="zh-CN"/>
              </w:rPr>
              <w:t>资格中落实政府采购政策需满足的资格要求，提供中小企业声明函（见第</w:t>
            </w:r>
            <w:r>
              <w:rPr>
                <w:rFonts w:hint="eastAsia" w:ascii="宋体" w:hAnsi="宋体" w:cs="宋体"/>
                <w:color w:val="auto"/>
                <w:kern w:val="10"/>
                <w:sz w:val="21"/>
                <w:szCs w:val="21"/>
                <w:highlight w:val="none"/>
                <w:lang w:val="en-US" w:eastAsia="zh-CN"/>
              </w:rPr>
              <w:t>四</w:t>
            </w:r>
            <w:r>
              <w:rPr>
                <w:rFonts w:hint="eastAsia" w:ascii="宋体" w:hAnsi="宋体" w:eastAsia="宋体" w:cs="宋体"/>
                <w:color w:val="auto"/>
                <w:kern w:val="10"/>
                <w:sz w:val="21"/>
                <w:szCs w:val="21"/>
                <w:highlight w:val="none"/>
                <w:lang w:eastAsia="zh-CN"/>
              </w:rPr>
              <w:t>章</w:t>
            </w:r>
            <w:r>
              <w:rPr>
                <w:rFonts w:hint="eastAsia" w:ascii="宋体" w:hAnsi="宋体" w:cs="宋体"/>
                <w:color w:val="auto"/>
                <w:kern w:val="10"/>
                <w:sz w:val="21"/>
                <w:szCs w:val="21"/>
                <w:highlight w:val="none"/>
                <w:lang w:val="en-US" w:eastAsia="zh-CN"/>
              </w:rPr>
              <w:t>谈判响应</w:t>
            </w:r>
            <w:r>
              <w:rPr>
                <w:rFonts w:hint="eastAsia" w:ascii="宋体" w:hAnsi="宋体" w:eastAsia="宋体" w:cs="宋体"/>
                <w:color w:val="auto"/>
                <w:kern w:val="10"/>
                <w:sz w:val="21"/>
                <w:szCs w:val="21"/>
                <w:highlight w:val="none"/>
                <w:lang w:eastAsia="zh-CN"/>
              </w:rPr>
              <w:t>文件格式中）或残疾人福利性单位声明函或省级以上监狱管理局、戒毒管理局（含新疆生产建设兵团）出具的属于监狱企业的证明文件扫描件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exact"/>
          <w:jc w:val="center"/>
        </w:trPr>
        <w:tc>
          <w:tcPr>
            <w:tcW w:w="706"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3094"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left"/>
              <w:textAlignment w:val="auto"/>
              <w:rPr>
                <w:rFonts w:hint="eastAsia" w:ascii="Dotum" w:hAnsi="Dotum" w:eastAsia="宋体" w:cs="Times New Roman"/>
                <w:kern w:val="2"/>
                <w:sz w:val="21"/>
                <w:szCs w:val="21"/>
                <w:lang w:val="en-US" w:eastAsia="zh-CN" w:bidi="ar-SA"/>
              </w:rPr>
            </w:pPr>
            <w:r>
              <w:rPr>
                <w:rFonts w:hint="eastAsia" w:ascii="宋体" w:hAnsi="宋体" w:cs="宋体"/>
                <w:szCs w:val="21"/>
              </w:rPr>
              <w:t>供应商声明函</w:t>
            </w:r>
          </w:p>
        </w:tc>
        <w:tc>
          <w:tcPr>
            <w:tcW w:w="5273"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left"/>
              <w:textAlignment w:val="auto"/>
              <w:rPr>
                <w:rFonts w:hint="eastAsia" w:ascii="Dotum" w:hAnsi="Dotum" w:eastAsia="宋体" w:cs="Times New Roman"/>
                <w:kern w:val="2"/>
                <w:sz w:val="21"/>
                <w:szCs w:val="21"/>
                <w:lang w:val="en-US" w:eastAsia="zh-CN" w:bidi="ar-SA"/>
              </w:rPr>
            </w:pPr>
            <w:r>
              <w:rPr>
                <w:rFonts w:hint="eastAsia" w:ascii="宋体" w:hAnsi="宋体" w:cs="宋体"/>
                <w:szCs w:val="21"/>
              </w:rPr>
              <w:t>格式、填写要求符合</w:t>
            </w:r>
            <w:r>
              <w:rPr>
                <w:rFonts w:hint="eastAsia" w:ascii="宋体" w:hAnsi="宋体" w:cs="宋体"/>
                <w:szCs w:val="21"/>
                <w:lang w:val="en-US" w:eastAsia="zh-CN"/>
              </w:rPr>
              <w:t>谈判</w:t>
            </w:r>
            <w:r>
              <w:rPr>
                <w:rFonts w:hint="eastAsia" w:ascii="宋体" w:hAnsi="宋体" w:cs="宋体"/>
                <w:szCs w:val="21"/>
              </w:rPr>
              <w:t>文件规定并加盖</w:t>
            </w:r>
            <w:r>
              <w:rPr>
                <w:rFonts w:hint="eastAsia" w:ascii="宋体" w:hAnsi="宋体" w:cs="宋体"/>
                <w:szCs w:val="21"/>
                <w:lang w:val="en-US" w:eastAsia="zh-CN"/>
              </w:rPr>
              <w:t>谈判响应</w:t>
            </w:r>
            <w:r>
              <w:rPr>
                <w:rFonts w:hint="eastAsia" w:ascii="宋体" w:hAnsi="宋体" w:cs="宋体"/>
                <w:szCs w:val="21"/>
              </w:rPr>
              <w:t>人电子签章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exact"/>
          <w:jc w:val="center"/>
        </w:trPr>
        <w:tc>
          <w:tcPr>
            <w:tcW w:w="706"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3094"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textAlignment w:val="auto"/>
              <w:outlineLvl w:val="9"/>
              <w:rPr>
                <w:rFonts w:hint="eastAsia" w:ascii="宋体" w:hAnsi="宋体" w:eastAsia="宋体" w:cs="宋体"/>
                <w:color w:val="auto"/>
                <w:kern w:val="10"/>
                <w:sz w:val="21"/>
                <w:szCs w:val="21"/>
                <w:highlight w:val="none"/>
                <w:lang w:val="en-US" w:eastAsia="zh-CN" w:bidi="ar-SA"/>
              </w:rPr>
            </w:pPr>
            <w:r>
              <w:rPr>
                <w:rFonts w:hint="eastAsia" w:ascii="宋体" w:hAnsi="宋体" w:eastAsia="宋体" w:cs="宋体"/>
                <w:color w:val="auto"/>
                <w:kern w:val="10"/>
                <w:sz w:val="21"/>
                <w:szCs w:val="21"/>
                <w:highlight w:val="none"/>
              </w:rPr>
              <w:t>不存在禁止投标的情形</w:t>
            </w:r>
          </w:p>
        </w:tc>
        <w:tc>
          <w:tcPr>
            <w:tcW w:w="527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olor w:val="auto"/>
                <w:kern w:val="10"/>
                <w:sz w:val="21"/>
                <w:szCs w:val="21"/>
                <w:highlight w:val="none"/>
                <w:lang w:val="en-US" w:eastAsia="zh-CN" w:bidi="ar-SA"/>
              </w:rPr>
            </w:pPr>
            <w:r>
              <w:rPr>
                <w:rFonts w:hint="eastAsia" w:ascii="宋体" w:hAnsi="宋体" w:eastAsia="宋体" w:cs="宋体"/>
                <w:color w:val="auto"/>
                <w:kern w:val="10"/>
                <w:sz w:val="21"/>
                <w:szCs w:val="21"/>
                <w:highlight w:val="none"/>
              </w:rPr>
              <w:t>不存在第二章“谈判响应人须知”第</w:t>
            </w:r>
            <w:r>
              <w:rPr>
                <w:rFonts w:hint="eastAsia" w:ascii="宋体" w:hAnsi="宋体" w:cs="宋体"/>
                <w:color w:val="auto"/>
                <w:kern w:val="10"/>
                <w:sz w:val="21"/>
                <w:szCs w:val="21"/>
                <w:highlight w:val="none"/>
                <w:lang w:val="en-US" w:eastAsia="zh-CN"/>
              </w:rPr>
              <w:t>4.5.1</w:t>
            </w:r>
            <w:r>
              <w:rPr>
                <w:rFonts w:hint="eastAsia" w:ascii="宋体" w:hAnsi="宋体" w:eastAsia="宋体" w:cs="宋体"/>
                <w:color w:val="auto"/>
                <w:kern w:val="10"/>
                <w:sz w:val="21"/>
                <w:szCs w:val="21"/>
                <w:highlight w:val="none"/>
              </w:rPr>
              <w:t>项或第</w:t>
            </w:r>
            <w:r>
              <w:rPr>
                <w:rFonts w:hint="eastAsia" w:ascii="宋体" w:hAnsi="宋体" w:cs="宋体"/>
                <w:color w:val="auto"/>
                <w:kern w:val="10"/>
                <w:sz w:val="21"/>
                <w:szCs w:val="21"/>
                <w:highlight w:val="none"/>
                <w:lang w:val="en-US" w:eastAsia="zh-CN"/>
              </w:rPr>
              <w:t>4.5.2</w:t>
            </w:r>
            <w:r>
              <w:rPr>
                <w:rFonts w:hint="eastAsia" w:ascii="宋体" w:hAnsi="宋体" w:eastAsia="宋体" w:cs="宋体"/>
                <w:color w:val="auto"/>
                <w:kern w:val="10"/>
                <w:sz w:val="21"/>
                <w:szCs w:val="21"/>
                <w:highlight w:val="none"/>
              </w:rPr>
              <w:t>项规定的任何一种情形。谈判响应人在谈判响应函中承诺，不需要提供相关证明。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800" w:type="dxa"/>
            <w:gridSpan w:val="2"/>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评审结论</w:t>
            </w:r>
          </w:p>
        </w:tc>
        <w:tc>
          <w:tcPr>
            <w:tcW w:w="5273"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全部通过为合格，否则为不合格。</w:t>
            </w:r>
            <w:r>
              <w:rPr>
                <w:rFonts w:hint="eastAsia" w:ascii="宋体" w:hAnsi="宋体" w:eastAsia="宋体" w:cs="宋体"/>
                <w:b/>
                <w:bCs/>
                <w:color w:val="auto"/>
                <w:sz w:val="21"/>
                <w:szCs w:val="21"/>
                <w:highlight w:val="none"/>
                <w:lang w:val="en-US" w:eastAsia="zh-CN"/>
              </w:rPr>
              <w:t xml:space="preserve"> </w:t>
            </w:r>
          </w:p>
        </w:tc>
      </w:tr>
    </w:tbl>
    <w:p>
      <w:pPr>
        <w:pStyle w:val="2"/>
        <w:ind w:left="0" w:leftChars="0" w:firstLine="0" w:firstLineChars="0"/>
        <w:rPr>
          <w:rFonts w:hint="eastAsia"/>
        </w:rPr>
      </w:pPr>
    </w:p>
    <w:p>
      <w:pPr>
        <w:pStyle w:val="2"/>
        <w:ind w:left="0" w:leftChars="0" w:firstLine="0" w:firstLineChars="0"/>
        <w:rPr>
          <w:rFonts w:hint="eastAsia"/>
        </w:rPr>
      </w:pPr>
    </w:p>
    <w:p>
      <w:pPr>
        <w:keepNext w:val="0"/>
        <w:keepLines w:val="0"/>
        <w:pageBreakBefore w:val="0"/>
        <w:widowControl w:val="0"/>
        <w:tabs>
          <w:tab w:val="left" w:pos="5535"/>
        </w:tabs>
        <w:suppressAutoHyphens/>
        <w:kinsoku/>
        <w:wordWrap/>
        <w:overflowPunct/>
        <w:topLinePunct w:val="0"/>
        <w:autoSpaceDE/>
        <w:autoSpaceDN/>
        <w:bidi w:val="0"/>
        <w:adjustRightInd/>
        <w:snapToGrid/>
        <w:spacing w:line="500" w:lineRule="exact"/>
        <w:jc w:val="center"/>
        <w:textAlignment w:val="auto"/>
        <w:rPr>
          <w:rFonts w:hint="eastAsia" w:ascii="宋体" w:hAnsi="宋体"/>
          <w:b/>
          <w:color w:val="auto"/>
          <w:kern w:val="10"/>
          <w:sz w:val="30"/>
          <w:szCs w:val="30"/>
          <w:highlight w:val="none"/>
        </w:rPr>
      </w:pPr>
      <w:r>
        <w:rPr>
          <w:rFonts w:hint="eastAsia" w:ascii="宋体" w:hAnsi="宋体"/>
          <w:b/>
          <w:color w:val="auto"/>
          <w:kern w:val="10"/>
          <w:sz w:val="30"/>
          <w:szCs w:val="30"/>
          <w:highlight w:val="none"/>
        </w:rPr>
        <w:t>商务标评审表</w:t>
      </w:r>
    </w:p>
    <w:tbl>
      <w:tblPr>
        <w:tblStyle w:val="31"/>
        <w:tblpPr w:leftFromText="180" w:rightFromText="180" w:vertAnchor="text" w:horzAnchor="page" w:tblpXSpec="center" w:tblpY="355"/>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79"/>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351" w:type="pct"/>
            <w:vMerge w:val="restart"/>
            <w:noWrap w:val="0"/>
            <w:vAlign w:val="center"/>
          </w:tcPr>
          <w:p>
            <w:pPr>
              <w:keepNext w:val="0"/>
              <w:keepLines w:val="0"/>
              <w:suppressLineNumbers w:val="0"/>
              <w:adjustRightInd w:val="0"/>
              <w:snapToGrid w:val="0"/>
              <w:spacing w:before="0" w:beforeAutospacing="0" w:after="0" w:afterAutospacing="0" w:line="360" w:lineRule="auto"/>
              <w:ind w:left="0" w:right="-11"/>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580" w:type="pct"/>
            <w:vMerge w:val="restart"/>
            <w:noWrap w:val="0"/>
            <w:vAlign w:val="center"/>
          </w:tcPr>
          <w:p>
            <w:pPr>
              <w:pStyle w:val="7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1"/>
              <w:textAlignment w:val="auto"/>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评审指标</w:t>
            </w:r>
          </w:p>
        </w:tc>
        <w:tc>
          <w:tcPr>
            <w:tcW w:w="4067" w:type="pct"/>
            <w:vMerge w:val="restart"/>
            <w:noWrap w:val="0"/>
            <w:vAlign w:val="center"/>
          </w:tcPr>
          <w:p>
            <w:pPr>
              <w:keepNext w:val="0"/>
              <w:keepLines w:val="0"/>
              <w:suppressLineNumbers w:val="0"/>
              <w:adjustRightInd w:val="0"/>
              <w:snapToGrid w:val="0"/>
              <w:spacing w:before="0" w:beforeAutospacing="0" w:after="0" w:afterAutospacing="0" w:line="360" w:lineRule="auto"/>
              <w:ind w:left="0" w:right="-11"/>
              <w:jc w:val="center"/>
              <w:rPr>
                <w:rFonts w:hint="eastAsia" w:ascii="宋体" w:hAnsi="宋体" w:cs="宋体"/>
                <w:b/>
                <w:color w:val="auto"/>
                <w:szCs w:val="21"/>
                <w:highlight w:val="none"/>
              </w:rPr>
            </w:pPr>
            <w:r>
              <w:rPr>
                <w:rFonts w:hint="eastAsia" w:ascii="宋体" w:hAnsi="宋体" w:cs="宋体"/>
                <w:b/>
                <w:color w:val="auto"/>
                <w:szCs w:val="21"/>
                <w:highlight w:val="none"/>
              </w:rPr>
              <w:t>评审内容及要求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351" w:type="pct"/>
            <w:vMerge w:val="continue"/>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11"/>
              <w:jc w:val="center"/>
              <w:rPr>
                <w:rFonts w:hint="eastAsia" w:ascii="宋体" w:hAnsi="宋体" w:cs="宋体"/>
                <w:b/>
                <w:color w:val="auto"/>
                <w:szCs w:val="21"/>
                <w:highlight w:val="none"/>
              </w:rPr>
            </w:pPr>
          </w:p>
        </w:tc>
        <w:tc>
          <w:tcPr>
            <w:tcW w:w="580" w:type="pct"/>
            <w:vMerge w:val="continue"/>
            <w:tcBorders>
              <w:bottom w:val="single" w:color="auto" w:sz="4" w:space="0"/>
            </w:tcBorders>
            <w:noWrap w:val="0"/>
            <w:vAlign w:val="center"/>
          </w:tcPr>
          <w:p>
            <w:pPr>
              <w:pStyle w:val="7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1"/>
              <w:textAlignment w:val="auto"/>
              <w:rPr>
                <w:rFonts w:hint="eastAsia" w:ascii="宋体" w:hAnsi="宋体" w:cs="宋体"/>
                <w:b/>
                <w:color w:val="auto"/>
                <w:kern w:val="2"/>
                <w:sz w:val="21"/>
                <w:szCs w:val="21"/>
                <w:highlight w:val="none"/>
              </w:rPr>
            </w:pPr>
          </w:p>
        </w:tc>
        <w:tc>
          <w:tcPr>
            <w:tcW w:w="4067" w:type="pct"/>
            <w:vMerge w:val="continue"/>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11"/>
              <w:jc w:val="center"/>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atLeast"/>
          <w:jc w:val="center"/>
        </w:trPr>
        <w:tc>
          <w:tcPr>
            <w:tcW w:w="351" w:type="pct"/>
            <w:noWrap w:val="0"/>
            <w:vAlign w:val="center"/>
          </w:tcPr>
          <w:p>
            <w:pPr>
              <w:keepNext w:val="0"/>
              <w:keepLines w:val="0"/>
              <w:suppressLineNumbers w:val="0"/>
              <w:adjustRightInd w:val="0"/>
              <w:snapToGrid w:val="0"/>
              <w:spacing w:before="0" w:beforeAutospacing="0" w:after="0" w:afterAutospacing="0" w:line="360" w:lineRule="auto"/>
              <w:ind w:left="0" w:right="-11"/>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80" w:type="pct"/>
            <w:noWrap w:val="0"/>
            <w:vAlign w:val="center"/>
          </w:tcPr>
          <w:p>
            <w:pPr>
              <w:keepNext w:val="0"/>
              <w:keepLines w:val="0"/>
              <w:suppressLineNumbers w:val="0"/>
              <w:spacing w:before="0" w:beforeAutospacing="0" w:after="0" w:afterAutospacing="0" w:line="360" w:lineRule="auto"/>
              <w:ind w:left="0" w:right="-11"/>
              <w:jc w:val="center"/>
              <w:rPr>
                <w:rFonts w:hint="eastAsia" w:ascii="宋体" w:hAnsi="宋体" w:cs="宋体"/>
                <w:color w:val="auto"/>
                <w:szCs w:val="21"/>
                <w:highlight w:val="none"/>
              </w:rPr>
            </w:pPr>
            <w:r>
              <w:rPr>
                <w:rFonts w:hint="eastAsia" w:ascii="宋体" w:hAnsi="宋体" w:cs="宋体"/>
                <w:color w:val="auto"/>
                <w:szCs w:val="21"/>
                <w:highlight w:val="none"/>
              </w:rPr>
              <w:t>形式性评审标准</w:t>
            </w:r>
          </w:p>
        </w:tc>
        <w:tc>
          <w:tcPr>
            <w:tcW w:w="4067" w:type="pct"/>
            <w:noWrap w:val="0"/>
            <w:vAlign w:val="center"/>
          </w:tcPr>
          <w:p>
            <w:pPr>
              <w:pStyle w:val="75"/>
              <w:keepNext w:val="0"/>
              <w:keepLines w:val="0"/>
              <w:numPr>
                <w:ilvl w:val="0"/>
                <w:numId w:val="7"/>
              </w:numPr>
              <w:suppressLineNumbers w:val="0"/>
              <w:pBdr>
                <w:bottom w:val="none" w:color="auto" w:sz="0" w:space="0"/>
              </w:pBdr>
              <w:tabs>
                <w:tab w:val="clear" w:pos="4153"/>
                <w:tab w:val="clear" w:pos="8306"/>
              </w:tabs>
              <w:adjustRightInd/>
              <w:spacing w:before="0" w:beforeAutospacing="0" w:after="0" w:afterAutospacing="0" w:line="360" w:lineRule="auto"/>
              <w:ind w:left="0" w:right="-11"/>
              <w:jc w:val="left"/>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无严重的编排混乱、内容不全或字迹模糊辨认不清、前后矛盾情况；</w:t>
            </w:r>
          </w:p>
          <w:p>
            <w:pPr>
              <w:pStyle w:val="75"/>
              <w:keepNext w:val="0"/>
              <w:keepLines w:val="0"/>
              <w:numPr>
                <w:ilvl w:val="0"/>
                <w:numId w:val="7"/>
              </w:numPr>
              <w:suppressLineNumbers w:val="0"/>
              <w:pBdr>
                <w:bottom w:val="none" w:color="auto" w:sz="0" w:space="0"/>
              </w:pBdr>
              <w:tabs>
                <w:tab w:val="clear" w:pos="4153"/>
                <w:tab w:val="clear" w:pos="8306"/>
              </w:tabs>
              <w:adjustRightInd/>
              <w:spacing w:before="0" w:beforeAutospacing="0" w:after="0" w:afterAutospacing="0" w:line="360" w:lineRule="auto"/>
              <w:ind w:left="0" w:right="-11"/>
              <w:jc w:val="left"/>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不存在对</w:t>
            </w:r>
            <w:r>
              <w:rPr>
                <w:rFonts w:hint="eastAsia" w:ascii="宋体" w:hAnsi="宋体" w:cs="宋体"/>
                <w:color w:val="auto"/>
                <w:kern w:val="2"/>
                <w:sz w:val="21"/>
                <w:szCs w:val="21"/>
                <w:highlight w:val="none"/>
                <w:lang w:eastAsia="zh-CN"/>
              </w:rPr>
              <w:t>谈判</w:t>
            </w:r>
            <w:r>
              <w:rPr>
                <w:rFonts w:hint="eastAsia" w:ascii="宋体" w:hAnsi="宋体" w:cs="宋体"/>
                <w:color w:val="auto"/>
                <w:kern w:val="2"/>
                <w:sz w:val="21"/>
                <w:szCs w:val="21"/>
                <w:highlight w:val="none"/>
              </w:rPr>
              <w:t>有实质性影响的情况。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0" w:hRule="atLeast"/>
          <w:jc w:val="center"/>
        </w:trPr>
        <w:tc>
          <w:tcPr>
            <w:tcW w:w="351" w:type="pct"/>
            <w:noWrap w:val="0"/>
            <w:vAlign w:val="center"/>
          </w:tcPr>
          <w:p>
            <w:pPr>
              <w:keepNext w:val="0"/>
              <w:keepLines w:val="0"/>
              <w:suppressLineNumbers w:val="0"/>
              <w:adjustRightInd w:val="0"/>
              <w:snapToGrid w:val="0"/>
              <w:spacing w:before="0" w:beforeAutospacing="0" w:after="0" w:afterAutospacing="0" w:line="360" w:lineRule="auto"/>
              <w:ind w:left="0" w:right="-11"/>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580" w:type="pct"/>
            <w:noWrap w:val="0"/>
            <w:vAlign w:val="center"/>
          </w:tcPr>
          <w:p>
            <w:pPr>
              <w:keepNext w:val="0"/>
              <w:keepLines w:val="0"/>
              <w:suppressLineNumbers w:val="0"/>
              <w:spacing w:before="0" w:beforeAutospacing="0" w:after="0" w:afterAutospacing="0" w:line="360" w:lineRule="auto"/>
              <w:ind w:left="0" w:right="-11"/>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4067" w:type="pct"/>
            <w:noWrap w:val="0"/>
            <w:vAlign w:val="center"/>
          </w:tcPr>
          <w:p>
            <w:pPr>
              <w:keepNext w:val="0"/>
              <w:keepLines w:val="0"/>
              <w:suppressLineNumbers w:val="0"/>
              <w:spacing w:before="0" w:beforeAutospacing="0" w:after="0" w:afterAutospacing="0" w:line="360" w:lineRule="auto"/>
              <w:ind w:left="0" w:right="-11"/>
              <w:rPr>
                <w:rFonts w:hint="eastAsia"/>
                <w:color w:val="auto"/>
                <w:highlight w:val="none"/>
              </w:rPr>
            </w:pPr>
            <w:r>
              <w:rPr>
                <w:rFonts w:hint="eastAsia"/>
                <w:color w:val="auto"/>
                <w:highlight w:val="none"/>
              </w:rPr>
              <w:t>（1）谈判响应文件的签字签章符合竞争性谈判文件规定</w:t>
            </w:r>
            <w:r>
              <w:rPr>
                <w:rFonts w:hint="eastAsia"/>
                <w:color w:val="auto"/>
                <w:highlight w:val="none"/>
                <w:lang w:eastAsia="zh-CN"/>
              </w:rPr>
              <w:t>（</w:t>
            </w:r>
            <w:r>
              <w:rPr>
                <w:rFonts w:hint="eastAsia"/>
                <w:color w:val="auto"/>
                <w:highlight w:val="none"/>
                <w:lang w:val="en-US" w:eastAsia="zh-CN"/>
              </w:rPr>
              <w:t>另有约定的除外</w:t>
            </w:r>
            <w:r>
              <w:rPr>
                <w:rFonts w:hint="eastAsia"/>
                <w:color w:val="auto"/>
                <w:highlight w:val="none"/>
                <w:lang w:eastAsia="zh-CN"/>
              </w:rPr>
              <w:t>）</w:t>
            </w:r>
            <w:r>
              <w:rPr>
                <w:rFonts w:hint="eastAsia"/>
                <w:color w:val="auto"/>
                <w:highlight w:val="none"/>
              </w:rPr>
              <w:t>；</w:t>
            </w:r>
          </w:p>
          <w:p>
            <w:pPr>
              <w:keepNext w:val="0"/>
              <w:keepLines w:val="0"/>
              <w:suppressLineNumbers w:val="0"/>
              <w:spacing w:before="0" w:beforeAutospacing="0" w:after="0" w:afterAutospacing="0" w:line="360" w:lineRule="auto"/>
              <w:ind w:left="0" w:right="-11"/>
              <w:rPr>
                <w:rFonts w:hint="eastAsia"/>
                <w:color w:val="auto"/>
                <w:highlight w:val="none"/>
              </w:rPr>
            </w:pPr>
            <w:r>
              <w:rPr>
                <w:rFonts w:hint="eastAsia"/>
                <w:color w:val="auto"/>
                <w:highlight w:val="none"/>
              </w:rPr>
              <w:t>（2）谈判总报价不高于</w:t>
            </w:r>
            <w:r>
              <w:rPr>
                <w:rFonts w:hint="eastAsia"/>
                <w:color w:val="auto"/>
                <w:highlight w:val="none"/>
                <w:lang w:eastAsia="zh-CN"/>
              </w:rPr>
              <w:t>采购人</w:t>
            </w:r>
            <w:r>
              <w:rPr>
                <w:rFonts w:hint="eastAsia"/>
                <w:color w:val="auto"/>
                <w:highlight w:val="none"/>
              </w:rPr>
              <w:t>公布的最高谈判限价，谈判响应人不得提交两份及以上内容不同的谈判响应文件，或在一份谈判响应文件中对同一谈判项目提交两个及以上报价，且未声明哪一个有效（按竞争性谈判文件约定提交谈判替代方案的除外）。</w:t>
            </w:r>
          </w:p>
          <w:p>
            <w:pPr>
              <w:keepNext w:val="0"/>
              <w:keepLines w:val="0"/>
              <w:suppressLineNumbers w:val="0"/>
              <w:spacing w:before="0" w:beforeAutospacing="0" w:after="0" w:afterAutospacing="0" w:line="360" w:lineRule="auto"/>
              <w:ind w:left="0" w:right="-11"/>
              <w:rPr>
                <w:rFonts w:hint="eastAsia"/>
                <w:color w:val="auto"/>
                <w:highlight w:val="none"/>
              </w:rPr>
            </w:pPr>
            <w:r>
              <w:rPr>
                <w:rFonts w:hint="eastAsia"/>
                <w:color w:val="auto"/>
                <w:highlight w:val="none"/>
              </w:rPr>
              <w:t>（3）谈判总报价中暂</w:t>
            </w:r>
            <w:r>
              <w:rPr>
                <w:rFonts w:hint="eastAsia"/>
                <w:color w:val="auto"/>
                <w:highlight w:val="none"/>
                <w:lang w:eastAsia="zh-CN"/>
              </w:rPr>
              <w:t>列</w:t>
            </w:r>
            <w:r>
              <w:rPr>
                <w:rFonts w:hint="eastAsia"/>
                <w:color w:val="auto"/>
                <w:highlight w:val="none"/>
              </w:rPr>
              <w:t>金额、暂</w:t>
            </w:r>
            <w:r>
              <w:rPr>
                <w:rFonts w:hint="eastAsia"/>
                <w:color w:val="auto"/>
                <w:highlight w:val="none"/>
                <w:lang w:eastAsia="zh-CN"/>
              </w:rPr>
              <w:t>估</w:t>
            </w:r>
            <w:r>
              <w:rPr>
                <w:rFonts w:hint="eastAsia"/>
                <w:color w:val="auto"/>
                <w:highlight w:val="none"/>
              </w:rPr>
              <w:t>价与招标工程量清单及</w:t>
            </w:r>
            <w:r>
              <w:rPr>
                <w:rFonts w:hint="eastAsia"/>
                <w:color w:val="auto"/>
                <w:highlight w:val="none"/>
                <w:lang w:eastAsia="zh-CN"/>
              </w:rPr>
              <w:t>最高谈判限价</w:t>
            </w:r>
            <w:r>
              <w:rPr>
                <w:rFonts w:hint="eastAsia"/>
                <w:color w:val="auto"/>
                <w:highlight w:val="none"/>
              </w:rPr>
              <w:t>中一致；</w:t>
            </w:r>
          </w:p>
          <w:p>
            <w:pPr>
              <w:keepNext w:val="0"/>
              <w:keepLines w:val="0"/>
              <w:suppressLineNumbers w:val="0"/>
              <w:spacing w:before="0" w:beforeAutospacing="0" w:after="0" w:afterAutospacing="0" w:line="360" w:lineRule="auto"/>
              <w:ind w:left="0" w:right="-11"/>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谈判报价相关表格其他内容符合竞争性谈判文件要求</w:t>
            </w:r>
            <w:r>
              <w:rPr>
                <w:rFonts w:hint="eastAsia"/>
                <w:color w:val="auto"/>
                <w:highlight w:val="none"/>
                <w:lang w:eastAsia="zh-CN"/>
              </w:rPr>
              <w:t>；</w:t>
            </w:r>
          </w:p>
          <w:p>
            <w:pPr>
              <w:keepNext w:val="0"/>
              <w:keepLines w:val="0"/>
              <w:suppressLineNumbers w:val="0"/>
              <w:spacing w:before="0" w:beforeAutospacing="0" w:after="0" w:afterAutospacing="0" w:line="360" w:lineRule="auto"/>
              <w:ind w:left="0" w:right="-11"/>
              <w:rPr>
                <w:rFonts w:hint="eastAsia"/>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）开标现场各项查验合格；</w:t>
            </w:r>
          </w:p>
          <w:p>
            <w:pPr>
              <w:keepNext w:val="0"/>
              <w:keepLines w:val="0"/>
              <w:suppressLineNumbers w:val="0"/>
              <w:spacing w:before="0" w:beforeAutospacing="0" w:after="0" w:afterAutospacing="0" w:line="360" w:lineRule="auto"/>
              <w:ind w:left="0" w:right="-11"/>
              <w:rPr>
                <w:rFonts w:hint="eastAsia"/>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）谈判响应文件中须明确工期和质量，工期不高于竞争性谈判文件的要求和质量不低于竞争性谈判文件的要求。</w:t>
            </w:r>
          </w:p>
          <w:p>
            <w:pPr>
              <w:keepNext w:val="0"/>
              <w:keepLines w:val="0"/>
              <w:suppressLineNumbers w:val="0"/>
              <w:spacing w:before="0" w:beforeAutospacing="0" w:after="0" w:afterAutospacing="0" w:line="360" w:lineRule="auto"/>
              <w:ind w:left="0" w:right="-11"/>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）雷同性分析：谈判响应人投标文件制作机器码一致或投标文件创建标识码一致或造价软件加密锁号一致的将不予通过。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2" w:type="pct"/>
            <w:gridSpan w:val="2"/>
            <w:noWrap w:val="0"/>
            <w:vAlign w:val="center"/>
          </w:tcPr>
          <w:p>
            <w:pPr>
              <w:keepNext w:val="0"/>
              <w:keepLines w:val="0"/>
              <w:suppressLineNumbers w:val="0"/>
              <w:spacing w:before="0" w:beforeAutospacing="0" w:after="0" w:afterAutospacing="0" w:line="360" w:lineRule="auto"/>
              <w:ind w:left="0" w:right="-11"/>
              <w:jc w:val="center"/>
              <w:rPr>
                <w:rFonts w:hint="eastAsia" w:ascii="宋体" w:hAnsi="宋体" w:cs="宋体"/>
                <w:color w:val="auto"/>
                <w:szCs w:val="21"/>
                <w:highlight w:val="none"/>
              </w:rPr>
            </w:pPr>
            <w:r>
              <w:rPr>
                <w:rFonts w:hint="eastAsia" w:ascii="宋体" w:hAnsi="宋体" w:cs="宋体"/>
                <w:color w:val="auto"/>
                <w:szCs w:val="21"/>
                <w:highlight w:val="none"/>
              </w:rPr>
              <w:t>评审结论</w:t>
            </w:r>
          </w:p>
        </w:tc>
        <w:tc>
          <w:tcPr>
            <w:tcW w:w="4067" w:type="pct"/>
            <w:noWrap w:val="0"/>
            <w:vAlign w:val="center"/>
          </w:tcPr>
          <w:p>
            <w:pPr>
              <w:keepNext w:val="0"/>
              <w:keepLines w:val="0"/>
              <w:suppressLineNumbers w:val="0"/>
              <w:spacing w:before="0" w:beforeAutospacing="0" w:after="0" w:afterAutospacing="0" w:line="360" w:lineRule="auto"/>
              <w:ind w:left="0" w:right="-11"/>
              <w:jc w:val="left"/>
              <w:rPr>
                <w:rFonts w:hint="eastAsia" w:ascii="宋体" w:hAnsi="宋体" w:cs="宋体"/>
                <w:color w:val="auto"/>
                <w:szCs w:val="21"/>
                <w:highlight w:val="none"/>
              </w:rPr>
            </w:pPr>
            <w:r>
              <w:rPr>
                <w:rFonts w:hint="eastAsia" w:ascii="宋体" w:hAnsi="宋体" w:cs="宋体"/>
                <w:color w:val="auto"/>
                <w:highlight w:val="none"/>
              </w:rPr>
              <w:t>全部通过为合格，否则为不合格。</w:t>
            </w:r>
          </w:p>
        </w:tc>
      </w:tr>
    </w:tbl>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b/>
          <w:strike w:val="0"/>
          <w:dstrike w:val="0"/>
          <w:color w:val="auto"/>
          <w:kern w:val="10"/>
          <w:sz w:val="30"/>
          <w:szCs w:val="30"/>
          <w:highlight w:val="none"/>
        </w:rPr>
      </w:pPr>
    </w:p>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b/>
          <w:strike w:val="0"/>
          <w:dstrike w:val="0"/>
          <w:color w:val="auto"/>
          <w:kern w:val="10"/>
          <w:sz w:val="30"/>
          <w:szCs w:val="30"/>
          <w:highlight w:val="none"/>
        </w:rPr>
      </w:pPr>
    </w:p>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b/>
          <w:strike w:val="0"/>
          <w:dstrike w:val="0"/>
          <w:color w:val="auto"/>
          <w:kern w:val="10"/>
          <w:sz w:val="30"/>
          <w:szCs w:val="30"/>
          <w:highlight w:val="none"/>
        </w:rPr>
      </w:pPr>
    </w:p>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b/>
          <w:strike w:val="0"/>
          <w:dstrike w:val="0"/>
          <w:color w:val="auto"/>
          <w:kern w:val="10"/>
          <w:sz w:val="30"/>
          <w:szCs w:val="30"/>
          <w:highlight w:val="none"/>
        </w:rPr>
      </w:pPr>
    </w:p>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b/>
          <w:strike w:val="0"/>
          <w:dstrike w:val="0"/>
          <w:color w:val="auto"/>
          <w:kern w:val="10"/>
          <w:sz w:val="30"/>
          <w:szCs w:val="30"/>
          <w:highlight w:val="none"/>
        </w:rPr>
      </w:pPr>
    </w:p>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b/>
          <w:strike w:val="0"/>
          <w:dstrike w:val="0"/>
          <w:color w:val="auto"/>
          <w:kern w:val="10"/>
          <w:sz w:val="30"/>
          <w:szCs w:val="30"/>
          <w:highlight w:val="none"/>
        </w:rPr>
      </w:pPr>
    </w:p>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b/>
          <w:strike w:val="0"/>
          <w:dstrike w:val="0"/>
          <w:color w:val="auto"/>
          <w:kern w:val="10"/>
          <w:sz w:val="30"/>
          <w:szCs w:val="30"/>
          <w:highlight w:val="none"/>
        </w:rPr>
      </w:pPr>
    </w:p>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b/>
          <w:strike w:val="0"/>
          <w:dstrike w:val="0"/>
          <w:color w:val="auto"/>
          <w:kern w:val="10"/>
          <w:sz w:val="30"/>
          <w:szCs w:val="30"/>
          <w:highlight w:val="none"/>
        </w:rPr>
      </w:pPr>
    </w:p>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b/>
          <w:strike w:val="0"/>
          <w:dstrike w:val="0"/>
          <w:color w:val="auto"/>
          <w:kern w:val="10"/>
          <w:sz w:val="30"/>
          <w:szCs w:val="30"/>
          <w:highlight w:val="none"/>
        </w:rPr>
      </w:pPr>
    </w:p>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b/>
          <w:strike w:val="0"/>
          <w:dstrike w:val="0"/>
          <w:color w:val="auto"/>
          <w:kern w:val="10"/>
          <w:sz w:val="30"/>
          <w:szCs w:val="30"/>
          <w:highlight w:val="none"/>
        </w:rPr>
      </w:pPr>
    </w:p>
    <w:p>
      <w:pPr>
        <w:keepNext w:val="0"/>
        <w:keepLines w:val="0"/>
        <w:pageBreakBefore w:val="0"/>
        <w:kinsoku/>
        <w:wordWrap/>
        <w:overflowPunct/>
        <w:topLinePunct w:val="0"/>
        <w:autoSpaceDE/>
        <w:autoSpaceDN/>
        <w:bidi w:val="0"/>
        <w:adjustRightInd w:val="0"/>
        <w:snapToGrid w:val="0"/>
        <w:spacing w:line="240" w:lineRule="auto"/>
        <w:ind w:left="0" w:leftChars="0"/>
        <w:jc w:val="both"/>
        <w:textAlignment w:val="auto"/>
        <w:outlineLvl w:val="9"/>
        <w:rPr>
          <w:rFonts w:hint="eastAsia" w:ascii="宋体" w:hAnsi="宋体"/>
          <w:b/>
          <w:strike w:val="0"/>
          <w:dstrike w:val="0"/>
          <w:color w:val="auto"/>
          <w:kern w:val="10"/>
          <w:sz w:val="30"/>
          <w:szCs w:val="30"/>
          <w:highlight w:val="none"/>
        </w:rPr>
      </w:pPr>
    </w:p>
    <w:p>
      <w:pPr>
        <w:pStyle w:val="30"/>
        <w:rPr>
          <w:rFonts w:hint="eastAsia"/>
        </w:rPr>
      </w:pPr>
    </w:p>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b/>
          <w:strike w:val="0"/>
          <w:dstrike w:val="0"/>
          <w:color w:val="auto"/>
          <w:kern w:val="10"/>
          <w:sz w:val="30"/>
          <w:szCs w:val="30"/>
          <w:highlight w:val="none"/>
        </w:rPr>
      </w:pPr>
      <w:r>
        <w:rPr>
          <w:rFonts w:hint="eastAsia" w:ascii="宋体" w:hAnsi="宋体"/>
          <w:b/>
          <w:strike w:val="0"/>
          <w:dstrike w:val="0"/>
          <w:color w:val="auto"/>
          <w:kern w:val="10"/>
          <w:sz w:val="30"/>
          <w:szCs w:val="30"/>
          <w:highlight w:val="none"/>
        </w:rPr>
        <w:t>技术标评审表</w:t>
      </w:r>
    </w:p>
    <w:tbl>
      <w:tblPr>
        <w:tblStyle w:val="3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7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4" w:type="pct"/>
            <w:vMerge w:val="restar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default"/>
                <w:bCs/>
                <w:strike w:val="0"/>
                <w:dstrike w:val="0"/>
                <w:color w:val="auto"/>
                <w:szCs w:val="21"/>
                <w:highlight w:val="none"/>
              </w:rPr>
            </w:pPr>
            <w:r>
              <w:rPr>
                <w:rFonts w:hint="default" w:hAnsi="宋体"/>
                <w:bCs/>
                <w:strike w:val="0"/>
                <w:dstrike w:val="0"/>
                <w:color w:val="auto"/>
                <w:szCs w:val="21"/>
                <w:highlight w:val="none"/>
              </w:rPr>
              <w:t>序号</w:t>
            </w:r>
          </w:p>
        </w:tc>
        <w:tc>
          <w:tcPr>
            <w:tcW w:w="4255" w:type="pct"/>
            <w:vMerge w:val="restar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default"/>
                <w:bCs/>
                <w:strike w:val="0"/>
                <w:dstrike w:val="0"/>
                <w:color w:val="auto"/>
                <w:szCs w:val="21"/>
                <w:highlight w:val="none"/>
              </w:rPr>
            </w:pPr>
            <w:r>
              <w:rPr>
                <w:rFonts w:hint="default" w:hAnsi="宋体"/>
                <w:bCs/>
                <w:strike w:val="0"/>
                <w:dstrike w:val="0"/>
                <w:color w:val="auto"/>
                <w:szCs w:val="21"/>
                <w:highlight w:val="none"/>
              </w:rPr>
              <w:t>评</w:t>
            </w:r>
            <w:r>
              <w:rPr>
                <w:rFonts w:hint="default"/>
                <w:bCs/>
                <w:strike w:val="0"/>
                <w:dstrike w:val="0"/>
                <w:color w:val="auto"/>
                <w:szCs w:val="21"/>
                <w:highlight w:val="none"/>
              </w:rPr>
              <w:t xml:space="preserve"> </w:t>
            </w:r>
            <w:r>
              <w:rPr>
                <w:rFonts w:hint="default" w:hAnsi="宋体"/>
                <w:bCs/>
                <w:strike w:val="0"/>
                <w:dstrike w:val="0"/>
                <w:color w:val="auto"/>
                <w:szCs w:val="21"/>
                <w:highlight w:val="none"/>
              </w:rPr>
              <w:t>审</w:t>
            </w:r>
            <w:r>
              <w:rPr>
                <w:rFonts w:hint="default"/>
                <w:bCs/>
                <w:strike w:val="0"/>
                <w:dstrike w:val="0"/>
                <w:color w:val="auto"/>
                <w:szCs w:val="21"/>
                <w:highlight w:val="none"/>
              </w:rPr>
              <w:t xml:space="preserve"> </w:t>
            </w:r>
            <w:r>
              <w:rPr>
                <w:rFonts w:hint="default" w:hAnsi="宋体"/>
                <w:bCs/>
                <w:strike w:val="0"/>
                <w:dstrike w:val="0"/>
                <w:color w:val="auto"/>
                <w:szCs w:val="21"/>
                <w:highlight w:val="none"/>
              </w:rPr>
              <w:t>内</w:t>
            </w:r>
            <w:r>
              <w:rPr>
                <w:rFonts w:hint="default"/>
                <w:bCs/>
                <w:strike w:val="0"/>
                <w:dstrike w:val="0"/>
                <w:color w:val="auto"/>
                <w:szCs w:val="21"/>
                <w:highlight w:val="none"/>
              </w:rPr>
              <w:t xml:space="preserve"> </w:t>
            </w:r>
            <w:r>
              <w:rPr>
                <w:rFonts w:hint="default" w:hAnsi="宋体"/>
                <w:bCs/>
                <w:strike w:val="0"/>
                <w:dstrike w:val="0"/>
                <w:color w:val="auto"/>
                <w:szCs w:val="21"/>
                <w:highlight w:val="none"/>
              </w:rPr>
              <w:t>容</w:t>
            </w:r>
            <w:r>
              <w:rPr>
                <w:rFonts w:hint="default"/>
                <w:bCs/>
                <w:strike w:val="0"/>
                <w:dstrike w:val="0"/>
                <w:color w:val="auto"/>
                <w:szCs w:val="21"/>
                <w:highlight w:val="none"/>
              </w:rPr>
              <w:t xml:space="preserve"> </w:t>
            </w:r>
            <w:r>
              <w:rPr>
                <w:rFonts w:hint="default" w:hAnsi="宋体"/>
                <w:bCs/>
                <w:strike w:val="0"/>
                <w:dstrike w:val="0"/>
                <w:color w:val="auto"/>
                <w:szCs w:val="21"/>
                <w:highlight w:val="none"/>
              </w:rPr>
              <w:t>及</w:t>
            </w:r>
            <w:r>
              <w:rPr>
                <w:rFonts w:hint="default"/>
                <w:bCs/>
                <w:strike w:val="0"/>
                <w:dstrike w:val="0"/>
                <w:color w:val="auto"/>
                <w:szCs w:val="21"/>
                <w:highlight w:val="none"/>
              </w:rPr>
              <w:t xml:space="preserve"> </w:t>
            </w:r>
            <w:r>
              <w:rPr>
                <w:rFonts w:hint="default" w:hAnsi="宋体"/>
                <w:bCs/>
                <w:strike w:val="0"/>
                <w:dstrike w:val="0"/>
                <w:color w:val="auto"/>
                <w:szCs w:val="21"/>
                <w:highlight w:val="none"/>
              </w:rPr>
              <w:t>要</w:t>
            </w:r>
            <w:r>
              <w:rPr>
                <w:rFonts w:hint="default"/>
                <w:bCs/>
                <w:strike w:val="0"/>
                <w:dstrike w:val="0"/>
                <w:color w:val="auto"/>
                <w:szCs w:val="21"/>
                <w:highlight w:val="none"/>
              </w:rPr>
              <w:t xml:space="preserve"> </w:t>
            </w:r>
            <w:r>
              <w:rPr>
                <w:rFonts w:hint="default" w:hAnsi="宋体"/>
                <w:bCs/>
                <w:strike w:val="0"/>
                <w:dstrike w:val="0"/>
                <w:color w:val="auto"/>
                <w:szCs w:val="21"/>
                <w:highlight w:val="none"/>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44"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default"/>
                <w:bCs/>
                <w:strike w:val="0"/>
                <w:dstrike w:val="0"/>
                <w:color w:val="auto"/>
                <w:szCs w:val="21"/>
                <w:highlight w:val="none"/>
              </w:rPr>
            </w:pPr>
          </w:p>
        </w:tc>
        <w:tc>
          <w:tcPr>
            <w:tcW w:w="4255"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default"/>
                <w:bCs/>
                <w:strike w:val="0"/>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44"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bCs/>
                <w:strike w:val="0"/>
                <w:dstrike w:val="0"/>
                <w:color w:val="auto"/>
                <w:szCs w:val="21"/>
                <w:highlight w:val="none"/>
              </w:rPr>
            </w:pPr>
            <w:r>
              <w:rPr>
                <w:rFonts w:hint="eastAsia"/>
                <w:bCs/>
                <w:strike w:val="0"/>
                <w:dstrike w:val="0"/>
                <w:color w:val="auto"/>
                <w:szCs w:val="21"/>
                <w:highlight w:val="none"/>
              </w:rPr>
              <w:t>1</w:t>
            </w:r>
          </w:p>
        </w:tc>
        <w:tc>
          <w:tcPr>
            <w:tcW w:w="4255"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eastAsia" w:eastAsia="宋体"/>
                <w:bCs/>
                <w:strike w:val="0"/>
                <w:dstrike w:val="0"/>
                <w:color w:val="auto"/>
                <w:szCs w:val="21"/>
                <w:highlight w:val="none"/>
                <w:lang w:eastAsia="zh-CN"/>
              </w:rPr>
            </w:pPr>
            <w:r>
              <w:rPr>
                <w:rFonts w:hint="default" w:hAnsi="宋体"/>
                <w:b/>
                <w:strike w:val="0"/>
                <w:dstrike w:val="0"/>
                <w:color w:val="auto"/>
                <w:szCs w:val="21"/>
                <w:highlight w:val="none"/>
              </w:rPr>
              <w:t>工程概况的描述</w:t>
            </w:r>
            <w:r>
              <w:rPr>
                <w:rFonts w:hint="default" w:hAnsi="宋体"/>
                <w:bCs/>
                <w:strike w:val="0"/>
                <w:dstrike w:val="0"/>
                <w:color w:val="auto"/>
                <w:szCs w:val="21"/>
                <w:highlight w:val="none"/>
              </w:rPr>
              <w:t>是否准确</w:t>
            </w:r>
            <w:r>
              <w:rPr>
                <w:rFonts w:hint="eastAsia" w:hAnsi="宋体"/>
                <w:bCs/>
                <w:strike w:val="0"/>
                <w:dstrike w:val="0"/>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4"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bCs/>
                <w:strike w:val="0"/>
                <w:dstrike w:val="0"/>
                <w:color w:val="auto"/>
                <w:szCs w:val="21"/>
                <w:highlight w:val="none"/>
              </w:rPr>
            </w:pPr>
            <w:r>
              <w:rPr>
                <w:rFonts w:hint="eastAsia"/>
                <w:bCs/>
                <w:strike w:val="0"/>
                <w:dstrike w:val="0"/>
                <w:color w:val="auto"/>
                <w:szCs w:val="21"/>
                <w:highlight w:val="none"/>
              </w:rPr>
              <w:t>2</w:t>
            </w:r>
          </w:p>
        </w:tc>
        <w:tc>
          <w:tcPr>
            <w:tcW w:w="4255"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default"/>
                <w:bCs/>
                <w:strike w:val="0"/>
                <w:dstrike w:val="0"/>
                <w:color w:val="auto"/>
                <w:szCs w:val="21"/>
                <w:highlight w:val="none"/>
              </w:rPr>
            </w:pPr>
            <w:r>
              <w:rPr>
                <w:rFonts w:hint="default" w:hAnsi="宋体"/>
                <w:b/>
                <w:strike w:val="0"/>
                <w:dstrike w:val="0"/>
                <w:color w:val="auto"/>
                <w:szCs w:val="21"/>
                <w:highlight w:val="none"/>
              </w:rPr>
              <w:t>主要施工方法</w:t>
            </w:r>
            <w:r>
              <w:rPr>
                <w:rFonts w:hint="default" w:hAnsi="宋体"/>
                <w:bCs/>
                <w:strike w:val="0"/>
                <w:dstrike w:val="0"/>
                <w:color w:val="auto"/>
                <w:szCs w:val="21"/>
                <w:highlight w:val="none"/>
              </w:rPr>
              <w:t>：各主要分部施工方法符合项目实际，须有详尽的施工技术方案，工艺先进、方法科学合理、可行，能指导具体施工并确保安全。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4"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bCs/>
                <w:strike w:val="0"/>
                <w:dstrike w:val="0"/>
                <w:color w:val="auto"/>
                <w:szCs w:val="21"/>
                <w:highlight w:val="none"/>
              </w:rPr>
            </w:pPr>
            <w:r>
              <w:rPr>
                <w:rFonts w:hint="eastAsia"/>
                <w:bCs/>
                <w:strike w:val="0"/>
                <w:dstrike w:val="0"/>
                <w:color w:val="auto"/>
                <w:szCs w:val="21"/>
                <w:highlight w:val="none"/>
              </w:rPr>
              <w:t>3</w:t>
            </w:r>
          </w:p>
        </w:tc>
        <w:tc>
          <w:tcPr>
            <w:tcW w:w="4255"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eastAsia" w:eastAsia="宋体"/>
                <w:bCs/>
                <w:strike w:val="0"/>
                <w:dstrike w:val="0"/>
                <w:color w:val="auto"/>
                <w:szCs w:val="21"/>
                <w:highlight w:val="none"/>
                <w:lang w:eastAsia="zh-CN"/>
              </w:rPr>
            </w:pPr>
            <w:r>
              <w:rPr>
                <w:rFonts w:hint="default" w:hAnsi="宋体"/>
                <w:b/>
                <w:strike w:val="0"/>
                <w:dstrike w:val="0"/>
                <w:color w:val="auto"/>
                <w:szCs w:val="21"/>
                <w:highlight w:val="none"/>
              </w:rPr>
              <w:t>拟投入的主要物资计划</w:t>
            </w:r>
            <w:r>
              <w:rPr>
                <w:rFonts w:hint="default" w:hAnsi="宋体"/>
                <w:bCs/>
                <w:strike w:val="0"/>
                <w:dstrike w:val="0"/>
                <w:color w:val="auto"/>
                <w:szCs w:val="21"/>
                <w:highlight w:val="none"/>
              </w:rPr>
              <w:t>：投入的施工材料有详细计划且计划周密，数量、选型配置、进场数量、时间安排合理，满足施工需要</w:t>
            </w:r>
            <w:r>
              <w:rPr>
                <w:rFonts w:hint="eastAsia" w:hAnsi="宋体"/>
                <w:bCs/>
                <w:strike w:val="0"/>
                <w:dstrike w:val="0"/>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4"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bCs/>
                <w:strike w:val="0"/>
                <w:dstrike w:val="0"/>
                <w:color w:val="auto"/>
                <w:szCs w:val="21"/>
                <w:highlight w:val="none"/>
              </w:rPr>
            </w:pPr>
            <w:r>
              <w:rPr>
                <w:rFonts w:hint="eastAsia"/>
                <w:bCs/>
                <w:strike w:val="0"/>
                <w:dstrike w:val="0"/>
                <w:color w:val="auto"/>
                <w:szCs w:val="21"/>
                <w:highlight w:val="none"/>
              </w:rPr>
              <w:t>4</w:t>
            </w:r>
          </w:p>
        </w:tc>
        <w:tc>
          <w:tcPr>
            <w:tcW w:w="4255"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default"/>
                <w:bCs/>
                <w:strike w:val="0"/>
                <w:dstrike w:val="0"/>
                <w:color w:val="auto"/>
                <w:szCs w:val="21"/>
                <w:highlight w:val="none"/>
              </w:rPr>
            </w:pPr>
            <w:r>
              <w:rPr>
                <w:rFonts w:hint="default" w:hAnsi="宋体"/>
                <w:b/>
                <w:strike w:val="0"/>
                <w:dstrike w:val="0"/>
                <w:color w:val="auto"/>
                <w:szCs w:val="21"/>
                <w:highlight w:val="none"/>
              </w:rPr>
              <w:t>拟投入的主要施工机械、设备计划</w:t>
            </w:r>
            <w:r>
              <w:rPr>
                <w:rFonts w:hint="default" w:hAnsi="宋体"/>
                <w:bCs/>
                <w:strike w:val="0"/>
                <w:dstrike w:val="0"/>
                <w:color w:val="auto"/>
                <w:szCs w:val="21"/>
                <w:highlight w:val="none"/>
              </w:rPr>
              <w:t>：投入的施工机械、设备、机具有详细计划且计划周密，设备数量、选型配置、进场数量、时间安排合理，满足施工需要。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4"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bCs/>
                <w:strike w:val="0"/>
                <w:dstrike w:val="0"/>
                <w:color w:val="auto"/>
                <w:szCs w:val="21"/>
                <w:highlight w:val="none"/>
              </w:rPr>
            </w:pPr>
            <w:r>
              <w:rPr>
                <w:rFonts w:hint="eastAsia"/>
                <w:bCs/>
                <w:strike w:val="0"/>
                <w:dstrike w:val="0"/>
                <w:color w:val="auto"/>
                <w:szCs w:val="21"/>
                <w:highlight w:val="none"/>
              </w:rPr>
              <w:t>5</w:t>
            </w:r>
          </w:p>
        </w:tc>
        <w:tc>
          <w:tcPr>
            <w:tcW w:w="4255"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eastAsia"/>
                <w:bCs/>
                <w:strike w:val="0"/>
                <w:dstrike w:val="0"/>
                <w:color w:val="auto"/>
                <w:szCs w:val="21"/>
                <w:highlight w:val="none"/>
              </w:rPr>
            </w:pPr>
            <w:r>
              <w:rPr>
                <w:rFonts w:hint="default" w:hAnsi="宋体"/>
                <w:b/>
                <w:strike w:val="0"/>
                <w:dstrike w:val="0"/>
                <w:color w:val="auto"/>
                <w:szCs w:val="21"/>
                <w:highlight w:val="none"/>
              </w:rPr>
              <w:t>劳动力安排计划</w:t>
            </w:r>
            <w:r>
              <w:rPr>
                <w:rFonts w:hint="default" w:hAnsi="宋体"/>
                <w:bCs/>
                <w:strike w:val="0"/>
                <w:dstrike w:val="0"/>
                <w:color w:val="auto"/>
                <w:szCs w:val="21"/>
                <w:highlight w:val="none"/>
              </w:rPr>
              <w:t>：各主要施工工序应有详细周密的劳动力安排计划明细，有各工种劳动力安排计划，劳动力投入经济合理，满足施工需要</w:t>
            </w:r>
            <w:r>
              <w:rPr>
                <w:rFonts w:hint="eastAsia" w:hAnsi="宋体"/>
                <w:bCs/>
                <w:strike w:val="0"/>
                <w:dstrike w:val="0"/>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4"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bCs/>
                <w:strike w:val="0"/>
                <w:dstrike w:val="0"/>
                <w:color w:val="auto"/>
                <w:szCs w:val="21"/>
                <w:highlight w:val="none"/>
              </w:rPr>
            </w:pPr>
            <w:r>
              <w:rPr>
                <w:rFonts w:hint="eastAsia"/>
                <w:bCs/>
                <w:strike w:val="0"/>
                <w:dstrike w:val="0"/>
                <w:color w:val="auto"/>
                <w:szCs w:val="21"/>
                <w:highlight w:val="none"/>
              </w:rPr>
              <w:t>6</w:t>
            </w:r>
          </w:p>
        </w:tc>
        <w:tc>
          <w:tcPr>
            <w:tcW w:w="4255"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default" w:hAnsi="宋体"/>
                <w:bCs/>
                <w:strike w:val="0"/>
                <w:dstrike w:val="0"/>
                <w:color w:val="auto"/>
                <w:szCs w:val="21"/>
                <w:highlight w:val="none"/>
              </w:rPr>
            </w:pPr>
            <w:r>
              <w:rPr>
                <w:rFonts w:hint="default" w:hAnsi="宋体"/>
                <w:b/>
                <w:strike w:val="0"/>
                <w:dstrike w:val="0"/>
                <w:color w:val="auto"/>
                <w:szCs w:val="21"/>
                <w:highlight w:val="none"/>
              </w:rPr>
              <w:t>确保工程质量的技术组织措施</w:t>
            </w:r>
            <w:r>
              <w:rPr>
                <w:rFonts w:hint="default" w:hAnsi="宋体"/>
                <w:bCs/>
                <w:strike w:val="0"/>
                <w:dstrike w:val="0"/>
                <w:color w:val="auto"/>
                <w:szCs w:val="21"/>
                <w:highlight w:val="none"/>
              </w:rPr>
              <w:t>：施工项目应有专门的质量技术管理班子和制度，且人员配备合理，制度健全。主要工序应有质量技术保证措施和手段，自控体系完整，能有效保证技术质量，达到承诺的质量标准。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44" w:type="pct"/>
            <w:tcBorders>
              <w:bottom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bCs/>
                <w:strike w:val="0"/>
                <w:dstrike w:val="0"/>
                <w:color w:val="auto"/>
                <w:szCs w:val="21"/>
                <w:highlight w:val="none"/>
              </w:rPr>
            </w:pPr>
            <w:r>
              <w:rPr>
                <w:rFonts w:hint="eastAsia"/>
                <w:bCs/>
                <w:strike w:val="0"/>
                <w:dstrike w:val="0"/>
                <w:color w:val="auto"/>
                <w:szCs w:val="21"/>
                <w:highlight w:val="none"/>
              </w:rPr>
              <w:t>7</w:t>
            </w:r>
          </w:p>
        </w:tc>
        <w:tc>
          <w:tcPr>
            <w:tcW w:w="4255" w:type="pct"/>
            <w:tcBorders>
              <w:bottom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default" w:hAnsi="宋体"/>
                <w:bCs/>
                <w:strike w:val="0"/>
                <w:dstrike w:val="0"/>
                <w:color w:val="auto"/>
                <w:szCs w:val="21"/>
                <w:highlight w:val="none"/>
              </w:rPr>
            </w:pPr>
            <w:r>
              <w:rPr>
                <w:rFonts w:hint="default" w:hAnsi="宋体"/>
                <w:b/>
                <w:strike w:val="0"/>
                <w:dstrike w:val="0"/>
                <w:color w:val="auto"/>
                <w:szCs w:val="21"/>
                <w:highlight w:val="none"/>
              </w:rPr>
              <w:t>确保安全生产的技术组织措施</w:t>
            </w:r>
            <w:r>
              <w:rPr>
                <w:rFonts w:hint="default" w:hAnsi="宋体"/>
                <w:bCs/>
                <w:strike w:val="0"/>
                <w:dstrike w:val="0"/>
                <w:color w:val="auto"/>
                <w:szCs w:val="21"/>
                <w:highlight w:val="none"/>
              </w:rPr>
              <w:t xml:space="preserve"> ：施工项目应有专门的安全管理人员和制度，且人员配备合理，制度健全，各道工序安全技术措施针对性强，符合实际且满足有关安全技术标准要求。现场防火、社会治安安全措施得力。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44" w:type="pct"/>
            <w:tcBorders>
              <w:bottom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bCs/>
                <w:strike w:val="0"/>
                <w:dstrike w:val="0"/>
                <w:color w:val="auto"/>
                <w:szCs w:val="21"/>
                <w:highlight w:val="none"/>
              </w:rPr>
            </w:pPr>
            <w:r>
              <w:rPr>
                <w:rFonts w:hint="eastAsia"/>
                <w:bCs/>
                <w:strike w:val="0"/>
                <w:dstrike w:val="0"/>
                <w:color w:val="auto"/>
                <w:szCs w:val="21"/>
                <w:highlight w:val="none"/>
              </w:rPr>
              <w:t>8</w:t>
            </w:r>
          </w:p>
        </w:tc>
        <w:tc>
          <w:tcPr>
            <w:tcW w:w="4255" w:type="pct"/>
            <w:tcBorders>
              <w:bottom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default"/>
                <w:bCs/>
                <w:strike w:val="0"/>
                <w:dstrike w:val="0"/>
                <w:color w:val="auto"/>
                <w:szCs w:val="21"/>
                <w:highlight w:val="none"/>
              </w:rPr>
            </w:pPr>
            <w:r>
              <w:rPr>
                <w:rFonts w:hint="default" w:hAnsi="宋体"/>
                <w:b/>
                <w:strike w:val="0"/>
                <w:dstrike w:val="0"/>
                <w:color w:val="auto"/>
                <w:szCs w:val="21"/>
                <w:highlight w:val="none"/>
              </w:rPr>
              <w:t>确保工期的技术组织措施</w:t>
            </w:r>
            <w:r>
              <w:rPr>
                <w:rFonts w:hint="default" w:hAnsi="宋体"/>
                <w:bCs/>
                <w:strike w:val="0"/>
                <w:dstrike w:val="0"/>
                <w:color w:val="auto"/>
                <w:szCs w:val="21"/>
                <w:highlight w:val="none"/>
              </w:rPr>
              <w:t>：在施工工艺、施工方法、材料选用、劳动力安排、技术等方面有保证工期的具体措施且措施得当</w:t>
            </w:r>
            <w:r>
              <w:rPr>
                <w:rFonts w:hint="eastAsia" w:hAnsi="宋体"/>
                <w:bCs/>
                <w:strike w:val="0"/>
                <w:dstrike w:val="0"/>
                <w:color w:val="auto"/>
                <w:szCs w:val="21"/>
                <w:highlight w:val="none"/>
                <w:lang w:eastAsia="zh-CN"/>
              </w:rPr>
              <w:t>；</w:t>
            </w:r>
            <w:r>
              <w:rPr>
                <w:rFonts w:hint="default" w:hAnsi="宋体"/>
                <w:bCs/>
                <w:strike w:val="0"/>
                <w:dstrike w:val="0"/>
                <w:color w:val="auto"/>
                <w:szCs w:val="21"/>
                <w:highlight w:val="none"/>
              </w:rPr>
              <w:t>有控制工期的施工进度计划</w:t>
            </w:r>
            <w:r>
              <w:rPr>
                <w:rFonts w:hint="eastAsia" w:hAnsi="宋体"/>
                <w:bCs/>
                <w:strike w:val="0"/>
                <w:dstrike w:val="0"/>
                <w:color w:val="auto"/>
                <w:szCs w:val="21"/>
                <w:highlight w:val="none"/>
                <w:lang w:eastAsia="zh-CN"/>
              </w:rPr>
              <w:t>；</w:t>
            </w:r>
            <w:r>
              <w:rPr>
                <w:rFonts w:hint="default" w:hAnsi="宋体"/>
                <w:bCs/>
                <w:strike w:val="0"/>
                <w:dstrike w:val="0"/>
                <w:color w:val="auto"/>
                <w:szCs w:val="21"/>
                <w:highlight w:val="none"/>
              </w:rPr>
              <w:t>应有施工总进度表或施工网络图，各项计划图表编制完善，安排科学合理，符合本项目施工实际要求。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44" w:type="pct"/>
            <w:tcBorders>
              <w:bottom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bCs/>
                <w:strike w:val="0"/>
                <w:dstrike w:val="0"/>
                <w:color w:val="auto"/>
                <w:szCs w:val="21"/>
                <w:highlight w:val="none"/>
              </w:rPr>
            </w:pPr>
            <w:r>
              <w:rPr>
                <w:rFonts w:hint="eastAsia"/>
                <w:bCs/>
                <w:strike w:val="0"/>
                <w:dstrike w:val="0"/>
                <w:color w:val="auto"/>
                <w:szCs w:val="21"/>
                <w:highlight w:val="none"/>
              </w:rPr>
              <w:t>9</w:t>
            </w:r>
          </w:p>
        </w:tc>
        <w:tc>
          <w:tcPr>
            <w:tcW w:w="4255" w:type="pct"/>
            <w:tcBorders>
              <w:bottom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default"/>
                <w:bCs/>
                <w:strike w:val="0"/>
                <w:dstrike w:val="0"/>
                <w:color w:val="auto"/>
                <w:szCs w:val="21"/>
                <w:highlight w:val="none"/>
              </w:rPr>
            </w:pPr>
            <w:r>
              <w:rPr>
                <w:rFonts w:hint="default" w:hAnsi="宋体"/>
                <w:b/>
                <w:strike w:val="0"/>
                <w:dstrike w:val="0"/>
                <w:color w:val="auto"/>
                <w:szCs w:val="21"/>
                <w:highlight w:val="none"/>
              </w:rPr>
              <w:t>确保文明施工的技术组织措施</w:t>
            </w:r>
            <w:r>
              <w:rPr>
                <w:rFonts w:hint="default" w:hAnsi="宋体"/>
                <w:bCs/>
                <w:strike w:val="0"/>
                <w:dstrike w:val="0"/>
                <w:color w:val="auto"/>
                <w:szCs w:val="21"/>
                <w:highlight w:val="none"/>
              </w:rPr>
              <w:t>：针对本工程项目特点，应有现场文明施工计划，环境保护措施，且计划措施内容应达到</w:t>
            </w:r>
            <w:r>
              <w:rPr>
                <w:rFonts w:hint="default"/>
                <w:bCs/>
                <w:strike w:val="0"/>
                <w:dstrike w:val="0"/>
                <w:color w:val="auto"/>
                <w:szCs w:val="21"/>
                <w:highlight w:val="none"/>
              </w:rPr>
              <w:t>“</w:t>
            </w:r>
            <w:r>
              <w:rPr>
                <w:rFonts w:hint="default" w:hAnsi="宋体"/>
                <w:bCs/>
                <w:strike w:val="0"/>
                <w:dstrike w:val="0"/>
                <w:color w:val="auto"/>
                <w:szCs w:val="21"/>
                <w:highlight w:val="none"/>
              </w:rPr>
              <w:t>安全文明示范工地</w:t>
            </w:r>
            <w:r>
              <w:rPr>
                <w:rFonts w:hint="default"/>
                <w:bCs/>
                <w:strike w:val="0"/>
                <w:dstrike w:val="0"/>
                <w:color w:val="auto"/>
                <w:szCs w:val="21"/>
                <w:highlight w:val="none"/>
              </w:rPr>
              <w:t>”</w:t>
            </w:r>
            <w:r>
              <w:rPr>
                <w:rFonts w:hint="default" w:hAnsi="宋体"/>
                <w:bCs/>
                <w:strike w:val="0"/>
                <w:dstrike w:val="0"/>
                <w:color w:val="auto"/>
                <w:szCs w:val="21"/>
                <w:highlight w:val="none"/>
              </w:rPr>
              <w:t>标准</w:t>
            </w:r>
            <w:r>
              <w:rPr>
                <w:rFonts w:hint="eastAsia" w:hAnsi="宋体"/>
                <w:bCs/>
                <w:strike w:val="0"/>
                <w:dstrike w:val="0"/>
                <w:color w:val="auto"/>
                <w:szCs w:val="21"/>
                <w:highlight w:val="none"/>
                <w:lang w:eastAsia="zh-CN"/>
              </w:rPr>
              <w:t>；</w:t>
            </w:r>
            <w:r>
              <w:rPr>
                <w:rFonts w:hint="default" w:hAnsi="宋体"/>
                <w:bCs/>
                <w:strike w:val="0"/>
                <w:dstrike w:val="0"/>
                <w:color w:val="auto"/>
                <w:szCs w:val="21"/>
                <w:highlight w:val="none"/>
              </w:rPr>
              <w:t>各项措施周全、具体、有效</w:t>
            </w:r>
            <w:r>
              <w:rPr>
                <w:rFonts w:hint="eastAsia" w:hAnsi="宋体"/>
                <w:bCs/>
                <w:strike w:val="0"/>
                <w:dstrike w:val="0"/>
                <w:color w:val="auto"/>
                <w:szCs w:val="21"/>
                <w:highlight w:val="none"/>
                <w:lang w:eastAsia="zh-CN"/>
              </w:rPr>
              <w:t>；</w:t>
            </w:r>
            <w:r>
              <w:rPr>
                <w:rFonts w:hint="default" w:hAnsi="宋体"/>
                <w:bCs/>
                <w:strike w:val="0"/>
                <w:dstrike w:val="0"/>
                <w:color w:val="auto"/>
                <w:szCs w:val="21"/>
                <w:highlight w:val="none"/>
              </w:rPr>
              <w:t>有具体实现现场文明施工目标的承诺。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4" w:type="pct"/>
            <w:tcBorders>
              <w:bottom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bCs/>
                <w:strike w:val="0"/>
                <w:dstrike w:val="0"/>
                <w:color w:val="auto"/>
                <w:szCs w:val="21"/>
                <w:highlight w:val="none"/>
              </w:rPr>
            </w:pPr>
            <w:r>
              <w:rPr>
                <w:rFonts w:hint="default"/>
                <w:bCs/>
                <w:strike w:val="0"/>
                <w:dstrike w:val="0"/>
                <w:color w:val="auto"/>
                <w:szCs w:val="21"/>
                <w:highlight w:val="none"/>
              </w:rPr>
              <w:t>1</w:t>
            </w:r>
            <w:r>
              <w:rPr>
                <w:rFonts w:hint="eastAsia"/>
                <w:bCs/>
                <w:strike w:val="0"/>
                <w:dstrike w:val="0"/>
                <w:color w:val="auto"/>
                <w:szCs w:val="21"/>
                <w:highlight w:val="none"/>
              </w:rPr>
              <w:t>0</w:t>
            </w:r>
          </w:p>
        </w:tc>
        <w:tc>
          <w:tcPr>
            <w:tcW w:w="4255" w:type="pct"/>
            <w:tcBorders>
              <w:bottom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default"/>
                <w:b/>
                <w:strike w:val="0"/>
                <w:dstrike w:val="0"/>
                <w:color w:val="auto"/>
                <w:szCs w:val="21"/>
                <w:highlight w:val="none"/>
              </w:rPr>
            </w:pPr>
            <w:r>
              <w:rPr>
                <w:rFonts w:hint="default" w:hAnsi="宋体"/>
                <w:b/>
                <w:strike w:val="0"/>
                <w:dstrike w:val="0"/>
                <w:color w:val="auto"/>
                <w:szCs w:val="21"/>
                <w:highlight w:val="none"/>
              </w:rPr>
              <w:t>工程施工的重点和</w:t>
            </w:r>
            <w:r>
              <w:rPr>
                <w:rFonts w:hint="eastAsia" w:hAnsi="宋体"/>
                <w:b/>
                <w:strike w:val="0"/>
                <w:dstrike w:val="0"/>
                <w:color w:val="auto"/>
                <w:szCs w:val="21"/>
                <w:highlight w:val="none"/>
              </w:rPr>
              <w:t>难点及保证措施</w:t>
            </w:r>
            <w:r>
              <w:rPr>
                <w:rFonts w:hint="eastAsia" w:hAnsi="宋体" w:eastAsia="宋体" w:cs="宋体"/>
                <w:b w:val="0"/>
                <w:bCs w:val="0"/>
                <w:strike w:val="0"/>
                <w:dstrike w:val="0"/>
                <w:color w:val="auto"/>
                <w:highlight w:val="none"/>
                <w:lang w:eastAsia="zh-CN"/>
              </w:rPr>
              <w:t>（如有“危大工程”和“超危大工程”，则须补充完善“危大工程”和“超危大工程”清单，并提供相应的安全技术措施）</w:t>
            </w:r>
            <w:r>
              <w:rPr>
                <w:rFonts w:hint="eastAsia" w:ascii="宋体" w:hAnsi="宋体" w:cs="宋体"/>
                <w:bCs/>
                <w:strike w:val="0"/>
                <w:dstrike w:val="0"/>
                <w:color w:val="auto"/>
                <w:szCs w:val="21"/>
                <w:highlight w:val="none"/>
              </w:rPr>
              <w:t>是否正确</w:t>
            </w:r>
            <w:r>
              <w:rPr>
                <w:rFonts w:hint="eastAsia" w:ascii="宋体" w:hAnsi="宋体" w:cs="宋体"/>
                <w:bCs/>
                <w:strike w:val="0"/>
                <w:dstrike w:val="0"/>
                <w:color w:val="auto"/>
                <w:szCs w:val="21"/>
                <w:highlight w:val="none"/>
                <w:lang w:eastAsia="zh-CN"/>
              </w:rPr>
              <w:t>；谈判响应人</w:t>
            </w:r>
            <w:r>
              <w:rPr>
                <w:rFonts w:hint="eastAsia" w:ascii="宋体" w:hAnsi="宋体" w:cs="宋体"/>
                <w:bCs/>
                <w:strike w:val="0"/>
                <w:dstrike w:val="0"/>
                <w:color w:val="auto"/>
                <w:szCs w:val="21"/>
                <w:highlight w:val="none"/>
              </w:rPr>
              <w:t>应在重难点章节重点表述。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44" w:type="pct"/>
            <w:tcBorders>
              <w:bottom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bCs/>
                <w:strike w:val="0"/>
                <w:dstrike w:val="0"/>
                <w:color w:val="auto"/>
                <w:szCs w:val="21"/>
                <w:highlight w:val="none"/>
              </w:rPr>
            </w:pPr>
            <w:r>
              <w:rPr>
                <w:rFonts w:hint="default"/>
                <w:bCs/>
                <w:strike w:val="0"/>
                <w:dstrike w:val="0"/>
                <w:color w:val="auto"/>
                <w:szCs w:val="21"/>
                <w:highlight w:val="none"/>
              </w:rPr>
              <w:t>1</w:t>
            </w:r>
            <w:r>
              <w:rPr>
                <w:rFonts w:hint="eastAsia"/>
                <w:bCs/>
                <w:strike w:val="0"/>
                <w:dstrike w:val="0"/>
                <w:color w:val="auto"/>
                <w:szCs w:val="21"/>
                <w:highlight w:val="none"/>
              </w:rPr>
              <w:t>1</w:t>
            </w:r>
          </w:p>
        </w:tc>
        <w:tc>
          <w:tcPr>
            <w:tcW w:w="4255" w:type="pct"/>
            <w:tcBorders>
              <w:bottom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default"/>
                <w:bCs/>
                <w:strike w:val="0"/>
                <w:dstrike w:val="0"/>
                <w:color w:val="auto"/>
                <w:szCs w:val="21"/>
                <w:highlight w:val="none"/>
              </w:rPr>
            </w:pPr>
            <w:r>
              <w:rPr>
                <w:rFonts w:hint="default" w:hAnsi="宋体"/>
                <w:b/>
                <w:strike w:val="0"/>
                <w:dstrike w:val="0"/>
                <w:color w:val="auto"/>
                <w:szCs w:val="21"/>
                <w:highlight w:val="none"/>
              </w:rPr>
              <w:t>施工总平面布置图</w:t>
            </w:r>
            <w:r>
              <w:rPr>
                <w:rFonts w:hint="default"/>
                <w:bCs/>
                <w:strike w:val="0"/>
                <w:dstrike w:val="0"/>
                <w:color w:val="auto"/>
                <w:szCs w:val="21"/>
                <w:highlight w:val="none"/>
              </w:rPr>
              <w:t xml:space="preserve"> </w:t>
            </w:r>
            <w:r>
              <w:rPr>
                <w:rFonts w:hint="default" w:hAnsi="宋体"/>
                <w:bCs/>
                <w:strike w:val="0"/>
                <w:dstrike w:val="0"/>
                <w:color w:val="auto"/>
                <w:szCs w:val="21"/>
                <w:highlight w:val="none"/>
              </w:rPr>
              <w:t>：应有施工总平面布置图，安排科学合理，符合本项目施工实际要求。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44" w:type="pct"/>
            <w:tcBorders>
              <w:bottom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bCs/>
                <w:strike w:val="0"/>
                <w:dstrike w:val="0"/>
                <w:color w:val="auto"/>
                <w:szCs w:val="21"/>
                <w:highlight w:val="none"/>
              </w:rPr>
            </w:pPr>
            <w:r>
              <w:rPr>
                <w:rFonts w:hint="default"/>
                <w:bCs/>
                <w:strike w:val="0"/>
                <w:dstrike w:val="0"/>
                <w:color w:val="auto"/>
                <w:szCs w:val="21"/>
                <w:highlight w:val="none"/>
              </w:rPr>
              <w:t>1</w:t>
            </w:r>
            <w:r>
              <w:rPr>
                <w:rFonts w:hint="eastAsia"/>
                <w:bCs/>
                <w:strike w:val="0"/>
                <w:dstrike w:val="0"/>
                <w:color w:val="auto"/>
                <w:szCs w:val="21"/>
                <w:highlight w:val="none"/>
              </w:rPr>
              <w:t>2</w:t>
            </w:r>
          </w:p>
        </w:tc>
        <w:tc>
          <w:tcPr>
            <w:tcW w:w="4255" w:type="pct"/>
            <w:tcBorders>
              <w:bottom w:val="single" w:color="auto" w:sz="4" w:space="0"/>
            </w:tcBorders>
            <w:noWrap w:val="0"/>
            <w:vAlign w:val="center"/>
          </w:tcPr>
          <w:p>
            <w:pPr>
              <w:pStyle w:val="24"/>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default"/>
                <w:bCs/>
                <w:strike w:val="0"/>
                <w:dstrike w:val="0"/>
                <w:color w:val="auto"/>
                <w:szCs w:val="21"/>
                <w:highlight w:val="none"/>
              </w:rPr>
            </w:pPr>
            <w:r>
              <w:rPr>
                <w:rFonts w:hint="default" w:hAnsi="宋体"/>
                <w:bCs/>
                <w:strike w:val="0"/>
                <w:dstrike w:val="0"/>
                <w:color w:val="auto"/>
                <w:szCs w:val="21"/>
                <w:highlight w:val="none"/>
              </w:rPr>
              <w:t>施工组织设计</w:t>
            </w:r>
            <w:r>
              <w:rPr>
                <w:rFonts w:hint="eastAsia" w:hAnsi="宋体"/>
                <w:bCs/>
                <w:strike w:val="0"/>
                <w:dstrike w:val="0"/>
                <w:color w:val="auto"/>
                <w:szCs w:val="21"/>
                <w:highlight w:val="none"/>
              </w:rPr>
              <w:t>的</w:t>
            </w:r>
            <w:r>
              <w:rPr>
                <w:rFonts w:hint="default" w:hAnsi="宋体"/>
                <w:bCs/>
                <w:strike w:val="0"/>
                <w:dstrike w:val="0"/>
                <w:color w:val="auto"/>
                <w:szCs w:val="21"/>
                <w:highlight w:val="none"/>
              </w:rPr>
              <w:t>针对性、完整性。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44" w:type="pct"/>
            <w:tcBorders>
              <w:bottom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bCs/>
                <w:strike w:val="0"/>
                <w:dstrike w:val="0"/>
                <w:color w:val="auto"/>
                <w:szCs w:val="21"/>
                <w:highlight w:val="none"/>
              </w:rPr>
            </w:pPr>
            <w:r>
              <w:rPr>
                <w:rFonts w:hint="default"/>
                <w:bCs/>
                <w:strike w:val="0"/>
                <w:dstrike w:val="0"/>
                <w:color w:val="auto"/>
                <w:szCs w:val="21"/>
                <w:highlight w:val="none"/>
              </w:rPr>
              <w:t>1</w:t>
            </w:r>
            <w:r>
              <w:rPr>
                <w:rFonts w:hint="eastAsia"/>
                <w:bCs/>
                <w:strike w:val="0"/>
                <w:dstrike w:val="0"/>
                <w:color w:val="auto"/>
                <w:szCs w:val="21"/>
                <w:highlight w:val="none"/>
              </w:rPr>
              <w:t>3</w:t>
            </w:r>
          </w:p>
        </w:tc>
        <w:tc>
          <w:tcPr>
            <w:tcW w:w="4255" w:type="pct"/>
            <w:tcBorders>
              <w:bottom w:val="single" w:color="auto" w:sz="4" w:space="0"/>
            </w:tcBorders>
            <w:noWrap w:val="0"/>
            <w:vAlign w:val="center"/>
          </w:tcPr>
          <w:p>
            <w:pPr>
              <w:pStyle w:val="24"/>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default"/>
                <w:bCs/>
                <w:strike w:val="0"/>
                <w:dstrike w:val="0"/>
                <w:color w:val="auto"/>
                <w:szCs w:val="21"/>
                <w:highlight w:val="none"/>
              </w:rPr>
            </w:pPr>
            <w:r>
              <w:rPr>
                <w:rFonts w:hint="default" w:hAnsi="宋体"/>
                <w:bCs/>
                <w:strike w:val="0"/>
                <w:dstrike w:val="0"/>
                <w:color w:val="auto"/>
                <w:szCs w:val="21"/>
                <w:highlight w:val="none"/>
              </w:rPr>
              <w:t>其他内容（如有）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44" w:type="pct"/>
            <w:tcBorders>
              <w:bottom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outlineLvl w:val="9"/>
              <w:rPr>
                <w:rFonts w:hint="eastAsia" w:eastAsia="宋体"/>
                <w:bCs/>
                <w:strike w:val="0"/>
                <w:dstrike w:val="0"/>
                <w:color w:val="auto"/>
                <w:szCs w:val="21"/>
                <w:highlight w:val="none"/>
                <w:lang w:eastAsia="zh-CN"/>
              </w:rPr>
            </w:pPr>
            <w:r>
              <w:rPr>
                <w:rFonts w:hint="eastAsia"/>
                <w:bCs/>
                <w:strike w:val="0"/>
                <w:dstrike w:val="0"/>
                <w:color w:val="auto"/>
                <w:szCs w:val="21"/>
                <w:highlight w:val="none"/>
                <w:lang w:eastAsia="zh-CN"/>
              </w:rPr>
              <w:t>结论</w:t>
            </w:r>
          </w:p>
        </w:tc>
        <w:tc>
          <w:tcPr>
            <w:tcW w:w="4255" w:type="pct"/>
            <w:tcBorders>
              <w:bottom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textAlignment w:val="auto"/>
              <w:outlineLvl w:val="9"/>
              <w:rPr>
                <w:rFonts w:hint="eastAsia" w:eastAsia="宋体"/>
                <w:bCs/>
                <w:strike w:val="0"/>
                <w:dstrike w:val="0"/>
                <w:color w:val="auto"/>
                <w:szCs w:val="21"/>
                <w:highlight w:val="none"/>
                <w:lang w:eastAsia="zh-CN"/>
              </w:rPr>
            </w:pPr>
            <w:r>
              <w:rPr>
                <w:rFonts w:hint="eastAsia" w:hAnsi="宋体"/>
                <w:bCs/>
                <w:strike w:val="0"/>
                <w:dstrike w:val="0"/>
                <w:color w:val="auto"/>
                <w:szCs w:val="21"/>
                <w:highlight w:val="none"/>
                <w:lang w:eastAsia="zh-CN"/>
              </w:rPr>
              <w:t>评审结论</w:t>
            </w:r>
          </w:p>
        </w:tc>
      </w:tr>
    </w:tbl>
    <w:p>
      <w:pPr>
        <w:widowControl/>
        <w:spacing w:line="360" w:lineRule="auto"/>
        <w:ind w:firstLine="420" w:firstLineChars="200"/>
        <w:jc w:val="left"/>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说明：</w:t>
      </w:r>
    </w:p>
    <w:p>
      <w:pPr>
        <w:widowControl/>
        <w:spacing w:line="360" w:lineRule="auto"/>
        <w:ind w:firstLine="420" w:firstLineChars="200"/>
        <w:jc w:val="left"/>
        <w:rPr>
          <w:rFonts w:hint="eastAsia" w:ascii="宋体" w:hAnsi="宋体" w:cs="宋体"/>
          <w:strike/>
          <w:dstrike w:val="0"/>
          <w:color w:val="auto"/>
          <w:szCs w:val="21"/>
          <w:highlight w:val="none"/>
        </w:rPr>
      </w:pPr>
      <w:r>
        <w:rPr>
          <w:rFonts w:hint="eastAsia" w:ascii="宋体" w:hAnsi="宋体" w:cs="宋体"/>
          <w:strike w:val="0"/>
          <w:dstrike w:val="0"/>
          <w:color w:val="auto"/>
          <w:szCs w:val="21"/>
          <w:highlight w:val="none"/>
          <w:lang w:val="en-US" w:eastAsia="zh-CN"/>
        </w:rPr>
        <w:t>1.</w:t>
      </w:r>
      <w:r>
        <w:rPr>
          <w:rFonts w:hint="eastAsia" w:ascii="宋体" w:hAnsi="宋体" w:cs="宋体"/>
          <w:strike w:val="0"/>
          <w:dstrike w:val="0"/>
          <w:color w:val="auto"/>
          <w:szCs w:val="21"/>
          <w:highlight w:val="none"/>
        </w:rPr>
        <w:t>技术标详细评审采用定性方法。</w:t>
      </w:r>
    </w:p>
    <w:p>
      <w:pPr>
        <w:widowControl/>
        <w:spacing w:line="360" w:lineRule="auto"/>
        <w:ind w:firstLine="420" w:firstLineChars="200"/>
        <w:jc w:val="left"/>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lang w:val="en-US" w:eastAsia="zh-CN"/>
        </w:rPr>
        <w:t>2</w:t>
      </w:r>
      <w:r>
        <w:rPr>
          <w:rFonts w:hint="eastAsia" w:ascii="宋体" w:hAnsi="宋体" w:cs="宋体"/>
          <w:strike w:val="0"/>
          <w:dstrike w:val="0"/>
          <w:color w:val="auto"/>
          <w:szCs w:val="21"/>
          <w:highlight w:val="none"/>
        </w:rPr>
        <w:t>.</w:t>
      </w:r>
      <w:r>
        <w:rPr>
          <w:rFonts w:hint="eastAsia" w:ascii="宋体" w:hAnsi="宋体" w:cs="宋体"/>
          <w:strike w:val="0"/>
          <w:dstrike w:val="0"/>
          <w:color w:val="auto"/>
          <w:szCs w:val="21"/>
          <w:highlight w:val="none"/>
          <w:lang w:eastAsia="zh-CN"/>
        </w:rPr>
        <w:t>谈判</w:t>
      </w:r>
      <w:r>
        <w:rPr>
          <w:rFonts w:hint="eastAsia" w:ascii="宋体" w:hAnsi="宋体" w:cs="宋体"/>
          <w:strike w:val="0"/>
          <w:dstrike w:val="0"/>
          <w:color w:val="auto"/>
          <w:szCs w:val="21"/>
          <w:highlight w:val="none"/>
        </w:rPr>
        <w:t>专家根据评审要求判断每项评审内容是否合格，并在</w:t>
      </w:r>
      <w:r>
        <w:rPr>
          <w:rFonts w:hint="eastAsia" w:ascii="宋体" w:hAnsi="宋体" w:cs="宋体"/>
          <w:strike w:val="0"/>
          <w:dstrike w:val="0"/>
          <w:color w:val="auto"/>
          <w:szCs w:val="21"/>
          <w:highlight w:val="none"/>
          <w:lang w:eastAsia="zh-CN"/>
        </w:rPr>
        <w:t>谈判响应人</w:t>
      </w:r>
      <w:r>
        <w:rPr>
          <w:rFonts w:hint="eastAsia" w:ascii="宋体" w:hAnsi="宋体" w:cs="宋体"/>
          <w:strike w:val="0"/>
          <w:dstrike w:val="0"/>
          <w:color w:val="auto"/>
          <w:szCs w:val="21"/>
          <w:highlight w:val="none"/>
        </w:rPr>
        <w:t>评审空格内用“√”、“×”表示。</w:t>
      </w:r>
    </w:p>
    <w:p>
      <w:pPr>
        <w:widowControl/>
        <w:spacing w:line="360" w:lineRule="auto"/>
        <w:ind w:firstLine="420" w:firstLineChars="200"/>
        <w:jc w:val="left"/>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lang w:val="en-US" w:eastAsia="zh-CN"/>
        </w:rPr>
        <w:t>3</w:t>
      </w:r>
      <w:r>
        <w:rPr>
          <w:rFonts w:hint="eastAsia" w:ascii="宋体" w:hAnsi="宋体" w:cs="宋体"/>
          <w:strike w:val="0"/>
          <w:dstrike w:val="0"/>
          <w:color w:val="auto"/>
          <w:szCs w:val="21"/>
          <w:highlight w:val="none"/>
        </w:rPr>
        <w:t>.合格标准：技术标详细评审必须同时满足以下两条要求，否则为不合格：</w:t>
      </w:r>
    </w:p>
    <w:p>
      <w:pPr>
        <w:widowControl/>
        <w:spacing w:line="360" w:lineRule="auto"/>
        <w:ind w:firstLine="420" w:firstLineChars="200"/>
        <w:jc w:val="left"/>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（1）上述各项标准中必须有8项以上（含8项）通过；</w:t>
      </w:r>
    </w:p>
    <w:p>
      <w:pPr>
        <w:widowControl/>
        <w:spacing w:line="360" w:lineRule="auto"/>
        <w:ind w:firstLine="420" w:firstLineChars="200"/>
        <w:jc w:val="left"/>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（2）第6、7、8项必须通过；</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.3</w:t>
      </w:r>
      <w:r>
        <w:rPr>
          <w:rFonts w:hint="eastAsia" w:ascii="宋体" w:hAnsi="宋体" w:cs="宋体"/>
          <w:color w:val="auto"/>
          <w:szCs w:val="21"/>
          <w:highlight w:val="none"/>
        </w:rPr>
        <w:t>谈判。谈判小组与通过谈判响应文件符合性审查和报价评审的谈判响应人，就报价和谈判小组提出的其他要求进行</w:t>
      </w:r>
      <w:r>
        <w:rPr>
          <w:rFonts w:hint="eastAsia" w:ascii="宋体" w:hAnsi="宋体" w:cs="宋体"/>
          <w:color w:val="auto"/>
          <w:szCs w:val="21"/>
          <w:highlight w:val="none"/>
          <w:lang w:val="en-US" w:eastAsia="zh-CN"/>
        </w:rPr>
        <w:t>在线</w:t>
      </w:r>
      <w:r>
        <w:rPr>
          <w:rFonts w:hint="eastAsia" w:ascii="宋体" w:hAnsi="宋体" w:cs="宋体"/>
          <w:color w:val="auto"/>
          <w:szCs w:val="21"/>
          <w:highlight w:val="none"/>
        </w:rPr>
        <w:t>谈判。</w:t>
      </w:r>
    </w:p>
    <w:p>
      <w:pPr>
        <w:widowControl/>
        <w:spacing w:line="360" w:lineRule="auto"/>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.3</w:t>
      </w:r>
      <w:r>
        <w:rPr>
          <w:rFonts w:hint="eastAsia" w:ascii="宋体" w:hAnsi="宋体" w:cs="宋体"/>
          <w:color w:val="auto"/>
          <w:szCs w:val="21"/>
          <w:highlight w:val="none"/>
        </w:rPr>
        <w:t>.1</w:t>
      </w:r>
      <w:r>
        <w:rPr>
          <w:rFonts w:hint="eastAsia" w:ascii="宋体" w:hAnsi="宋体" w:cs="宋体"/>
          <w:b/>
          <w:color w:val="auto"/>
          <w:szCs w:val="21"/>
          <w:highlight w:val="none"/>
        </w:rPr>
        <w:t>谈判响应人对谈判文件中个别或部分条款或谈判小组提出的要求未作出响应时，需谈判响应人在电子交易系统向谈判小组提出，且需谈判小组组长签字确认。未对谈判文件中个别或部分条款或谈判小组提出的要求作出实质性响应的报价，有可能被拒绝。</w:t>
      </w:r>
    </w:p>
    <w:p>
      <w:pPr>
        <w:widowControl/>
        <w:spacing w:line="360" w:lineRule="auto"/>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.3</w:t>
      </w:r>
      <w:r>
        <w:rPr>
          <w:rFonts w:hint="eastAsia" w:ascii="宋体" w:hAnsi="宋体" w:cs="宋体"/>
          <w:color w:val="auto"/>
          <w:szCs w:val="21"/>
          <w:highlight w:val="none"/>
        </w:rPr>
        <w:t>.2</w:t>
      </w:r>
      <w:r>
        <w:rPr>
          <w:rFonts w:hint="eastAsia" w:ascii="宋体" w:hAnsi="宋体" w:cs="宋体"/>
          <w:b/>
          <w:color w:val="auto"/>
          <w:szCs w:val="21"/>
          <w:highlight w:val="none"/>
        </w:rPr>
        <w:t>谈判响应人根据谈判小组要求进行最终报价，且最终报价不得高于首轮报价，最终报价表由各谈判响应单位在谈判小组规定的时间内通过电子交易系统递交。</w:t>
      </w:r>
    </w:p>
    <w:p>
      <w:pPr>
        <w:spacing w:line="360" w:lineRule="auto"/>
        <w:ind w:firstLine="420" w:firstLineChars="200"/>
        <w:rPr>
          <w:rFonts w:hint="eastAsia"/>
          <w:color w:val="auto"/>
          <w:highlight w:val="none"/>
        </w:rPr>
      </w:pPr>
      <w:r>
        <w:rPr>
          <w:rFonts w:hint="eastAsia" w:hAnsi="宋体" w:cs="宋体"/>
          <w:color w:val="auto"/>
          <w:szCs w:val="21"/>
          <w:highlight w:val="none"/>
        </w:rPr>
        <w:t>谈判响应人未在规定时间内通过电子交易系统提交最终报价的，谈判小组以该谈判响应人的首轮报价作为最终报价。</w:t>
      </w:r>
    </w:p>
    <w:p>
      <w:pPr>
        <w:adjustRightInd w:val="0"/>
        <w:spacing w:line="480" w:lineRule="exact"/>
        <w:ind w:left="178" w:leftChars="85" w:firstLine="420" w:firstLineChars="200"/>
        <w:textAlignment w:val="baseline"/>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Cs w:val="21"/>
          <w:highlight w:val="none"/>
          <w:lang w:val="en-US" w:eastAsia="zh-CN"/>
        </w:rPr>
        <w:t>32.3.3</w:t>
      </w:r>
      <w:r>
        <w:rPr>
          <w:rFonts w:hint="eastAsia" w:ascii="宋体" w:hAnsi="宋体" w:eastAsia="宋体" w:cs="宋体"/>
          <w:color w:val="auto"/>
          <w:kern w:val="2"/>
          <w:sz w:val="21"/>
          <w:szCs w:val="21"/>
          <w:highlight w:val="none"/>
          <w:lang w:val="en-US" w:eastAsia="zh-CN" w:bidi="ar"/>
        </w:rPr>
        <w:t>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w:t>
      </w:r>
      <w:r>
        <w:rPr>
          <w:rFonts w:hint="eastAsia" w:ascii="宋体" w:hAnsi="宋体" w:cs="宋体"/>
          <w:color w:val="auto"/>
          <w:kern w:val="2"/>
          <w:sz w:val="21"/>
          <w:szCs w:val="21"/>
          <w:highlight w:val="none"/>
          <w:lang w:val="en-US" w:eastAsia="zh-CN" w:bidi="ar"/>
        </w:rPr>
        <w:t>谈判响应人</w:t>
      </w:r>
      <w:r>
        <w:rPr>
          <w:rFonts w:hint="eastAsia" w:ascii="宋体" w:hAnsi="宋体" w:eastAsia="宋体" w:cs="宋体"/>
          <w:color w:val="auto"/>
          <w:kern w:val="2"/>
          <w:sz w:val="21"/>
          <w:szCs w:val="21"/>
          <w:highlight w:val="none"/>
          <w:lang w:val="en-US" w:eastAsia="zh-CN" w:bidi="ar"/>
        </w:rPr>
        <w:t xml:space="preserve">，其响应报价按照谈判响应人须知前附表中规定的标准扣除后参与评审。对于同时属于小微企业、监狱企业或残疾人福利性单位的，不重复进行响应报价扣除。 </w:t>
      </w:r>
    </w:p>
    <w:p>
      <w:pPr>
        <w:adjustRightInd w:val="0"/>
        <w:spacing w:line="480" w:lineRule="exact"/>
        <w:ind w:left="178" w:leftChars="85" w:firstLine="420" w:firstLineChars="200"/>
        <w:textAlignment w:val="baseline"/>
        <w:rPr>
          <w:rFonts w:hint="eastAsia" w:ascii="宋体" w:hAnsi="宋体" w:eastAsia="宋体" w:cs="宋体"/>
          <w:color w:val="auto"/>
          <w:szCs w:val="21"/>
          <w:highlight w:val="none"/>
          <w:lang w:val="en-US"/>
        </w:rPr>
      </w:pPr>
      <w:r>
        <w:rPr>
          <w:rFonts w:hint="eastAsia" w:ascii="宋体" w:hAnsi="宋体"/>
          <w:szCs w:val="21"/>
          <w:highlight w:val="none"/>
          <w:lang w:val="en-US" w:eastAsia="zh-CN"/>
        </w:rPr>
        <w:t>对于</w:t>
      </w:r>
      <w:r>
        <w:rPr>
          <w:rFonts w:hint="eastAsia" w:ascii="宋体" w:hAnsi="宋体"/>
          <w:szCs w:val="21"/>
          <w:highlight w:val="none"/>
        </w:rPr>
        <w:t>预留份额的货物、服务项目中的非预留部分采购包，对符合规定的小微企业给予10%的价格扣除优惠，用扣除后的价格参加评审。</w:t>
      </w:r>
    </w:p>
    <w:p>
      <w:pPr>
        <w:keepNext w:val="0"/>
        <w:keepLines w:val="0"/>
        <w:widowControl w:val="0"/>
        <w:suppressLineNumbers w:val="0"/>
        <w:spacing w:before="0" w:beforeAutospacing="0" w:after="0" w:afterAutospacing="0" w:line="384" w:lineRule="auto"/>
        <w:ind w:left="19" w:right="2" w:firstLine="630" w:firstLineChars="3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0%以上的，对联合体或者大中型企业的报价给予</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%的扣除，用扣除后的价格参加评审。组成联合体或者接受分包的小微企业与联合体内其他企业、分包企业之间存在直接控股、管理关系的，不享受价格扣除优惠政策。</w:t>
      </w:r>
    </w:p>
    <w:p>
      <w:pPr>
        <w:widowControl/>
        <w:spacing w:line="360" w:lineRule="auto"/>
        <w:ind w:firstLine="420" w:firstLineChars="200"/>
        <w:jc w:val="left"/>
        <w:rPr>
          <w:rFonts w:hint="eastAsia" w:ascii="宋体" w:hAnsi="宋体" w:cs="宋体"/>
          <w:b/>
          <w:color w:val="auto"/>
          <w:szCs w:val="21"/>
          <w:highlight w:val="none"/>
        </w:rPr>
      </w:pPr>
      <w:r>
        <w:rPr>
          <w:rFonts w:hint="eastAsia" w:ascii="宋体" w:hAnsi="宋体" w:eastAsia="宋体" w:cs="宋体"/>
          <w:color w:val="auto"/>
          <w:kern w:val="2"/>
          <w:sz w:val="21"/>
          <w:szCs w:val="21"/>
          <w:highlight w:val="none"/>
          <w:lang w:val="en-US" w:eastAsia="zh-CN" w:bidi="ar"/>
        </w:rPr>
        <w:t>以联合体形式参加政府采购活动，联合体各方均为中小企业的，联合体视同中小企业。其中，联合体各方均为小微企业的，联合体视同小微企业。</w:t>
      </w:r>
    </w:p>
    <w:p>
      <w:pPr>
        <w:widowControl/>
        <w:spacing w:line="360" w:lineRule="auto"/>
        <w:ind w:firstLine="422" w:firstLineChars="200"/>
        <w:jc w:val="left"/>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32.4计算信用评审价</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谈判小组</w:t>
      </w:r>
      <w:r>
        <w:rPr>
          <w:rFonts w:hint="eastAsia" w:ascii="宋体" w:hAnsi="宋体" w:cs="宋体"/>
          <w:color w:val="auto"/>
          <w:szCs w:val="21"/>
          <w:highlight w:val="none"/>
        </w:rPr>
        <w:t>按照商务标、技术标评审均合格的</w:t>
      </w:r>
      <w:r>
        <w:rPr>
          <w:rFonts w:hint="eastAsia" w:ascii="宋体" w:hAnsi="宋体" w:cs="宋体"/>
          <w:color w:val="auto"/>
          <w:szCs w:val="21"/>
          <w:highlight w:val="none"/>
          <w:lang w:eastAsia="zh-CN"/>
        </w:rPr>
        <w:t>谈判响应人</w:t>
      </w:r>
      <w:r>
        <w:rPr>
          <w:rFonts w:hint="eastAsia" w:ascii="宋体" w:hAnsi="宋体" w:eastAsia="宋体" w:cs="Times New Roman"/>
          <w:color w:val="auto"/>
          <w:kern w:val="2"/>
          <w:sz w:val="21"/>
          <w:szCs w:val="21"/>
          <w:highlight w:val="none"/>
          <w:lang w:val="en-US" w:eastAsia="zh-CN" w:bidi="ar"/>
        </w:rPr>
        <w:t>最终报价</w:t>
      </w:r>
      <w:r>
        <w:rPr>
          <w:rFonts w:hint="eastAsia" w:ascii="宋体" w:hAnsi="宋体" w:cs="宋体"/>
          <w:color w:val="auto"/>
          <w:szCs w:val="21"/>
          <w:highlight w:val="none"/>
        </w:rPr>
        <w:t>由低到高顺序确定第一、第二、第三名后，实时查询</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的信用记录，并根据</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有效期内的不良行为记录对应系数计算各</w:t>
      </w:r>
      <w:r>
        <w:rPr>
          <w:rFonts w:hint="eastAsia" w:ascii="宋体" w:hAnsi="宋体" w:cs="宋体"/>
          <w:color w:val="auto"/>
          <w:szCs w:val="21"/>
          <w:highlight w:val="none"/>
          <w:lang w:eastAsia="zh-CN"/>
        </w:rPr>
        <w:t>谈判响应人</w:t>
      </w:r>
      <w:r>
        <w:rPr>
          <w:rFonts w:hint="eastAsia" w:ascii="宋体" w:hAnsi="宋体" w:cs="宋体"/>
          <w:color w:val="auto"/>
          <w:szCs w:val="21"/>
          <w:highlight w:val="none"/>
        </w:rPr>
        <w:t>的</w:t>
      </w:r>
      <w:r>
        <w:rPr>
          <w:rFonts w:hint="eastAsia" w:ascii="宋体" w:hAnsi="宋体" w:cs="宋体"/>
          <w:color w:val="auto"/>
          <w:szCs w:val="21"/>
          <w:highlight w:val="none"/>
          <w:lang w:eastAsia="zh-CN"/>
        </w:rPr>
        <w:t>评审价</w:t>
      </w:r>
      <w:r>
        <w:rPr>
          <w:rFonts w:hint="eastAsia" w:ascii="宋体" w:hAnsi="宋体" w:cs="宋体"/>
          <w:color w:val="auto"/>
          <w:szCs w:val="21"/>
          <w:highlight w:val="none"/>
        </w:rPr>
        <w:t>。</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1．上述谈判响应人的信用记录指</w:t>
      </w:r>
      <w:r>
        <w:rPr>
          <w:rFonts w:hint="eastAsia" w:ascii="宋体" w:hAnsi="宋体" w:cs="宋体"/>
          <w:color w:val="auto"/>
          <w:szCs w:val="21"/>
          <w:highlight w:val="none"/>
          <w:lang w:eastAsia="zh-CN"/>
        </w:rPr>
        <w:t>：</w:t>
      </w:r>
      <w:r>
        <w:rPr>
          <w:rFonts w:hint="eastAsia" w:ascii="宋体" w:hAnsi="宋体" w:cs="宋体"/>
          <w:color w:val="auto"/>
          <w:szCs w:val="21"/>
          <w:highlight w:val="none"/>
        </w:rPr>
        <w:t>谈判响应人被安庆市（含五县两市）公共资源交易监督管理部门记录并披露的不良行为记录，且投标截止日仍处于公示有效期内（公示有效期即限制行为开始时间至限制行为结束时间）。</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2．不良行为记录对应系数认定原则：无不良行为记录则信用系数为1，有不良行为记录则信用系数为1.05。（联合体参加投标的，如联合体任一成员有不良行为记录的，则信用系数按1.05认定。）</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eastAsia="zh-CN"/>
        </w:rPr>
        <w:t>评审价</w:t>
      </w:r>
      <w:r>
        <w:rPr>
          <w:rFonts w:hint="eastAsia" w:ascii="宋体" w:hAnsi="宋体" w:cs="宋体"/>
          <w:color w:val="auto"/>
          <w:szCs w:val="21"/>
          <w:highlight w:val="none"/>
        </w:rPr>
        <w:t>计算原则为：将</w:t>
      </w:r>
      <w:r>
        <w:rPr>
          <w:rFonts w:hint="eastAsia" w:ascii="宋体" w:hAnsi="宋体" w:cs="宋体"/>
          <w:color w:val="auto"/>
          <w:szCs w:val="21"/>
          <w:highlight w:val="none"/>
          <w:lang w:eastAsia="zh-CN"/>
        </w:rPr>
        <w:t>谈判响应人最终报价</w:t>
      </w:r>
      <w:r>
        <w:rPr>
          <w:rFonts w:hint="eastAsia" w:ascii="宋体" w:hAnsi="宋体" w:cs="宋体"/>
          <w:color w:val="auto"/>
          <w:szCs w:val="21"/>
          <w:highlight w:val="none"/>
        </w:rPr>
        <w:t>乘以其不良行为记录对应系数，计算结果即为</w:t>
      </w:r>
      <w:r>
        <w:rPr>
          <w:rFonts w:hint="eastAsia" w:ascii="宋体" w:hAnsi="宋体" w:cs="宋体"/>
          <w:color w:val="auto"/>
          <w:szCs w:val="21"/>
          <w:highlight w:val="none"/>
          <w:lang w:eastAsia="zh-CN"/>
        </w:rPr>
        <w:t>评审价</w:t>
      </w:r>
      <w:r>
        <w:rPr>
          <w:rFonts w:hint="eastAsia" w:ascii="宋体" w:hAnsi="宋体" w:cs="宋体"/>
          <w:color w:val="auto"/>
          <w:szCs w:val="21"/>
          <w:highlight w:val="none"/>
        </w:rPr>
        <w:t>。</w:t>
      </w:r>
      <w:r>
        <w:rPr>
          <w:rFonts w:hint="eastAsia" w:ascii="宋体" w:hAnsi="宋体" w:cs="宋体"/>
          <w:color w:val="auto"/>
          <w:szCs w:val="21"/>
          <w:highlight w:val="none"/>
          <w:lang w:eastAsia="zh-CN"/>
        </w:rPr>
        <w:t>评审价</w:t>
      </w:r>
      <w:r>
        <w:rPr>
          <w:rFonts w:hint="eastAsia" w:ascii="宋体" w:hAnsi="宋体" w:cs="宋体"/>
          <w:color w:val="auto"/>
          <w:szCs w:val="21"/>
          <w:highlight w:val="none"/>
        </w:rPr>
        <w:t>最低的为第一</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，次低的为第二</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，依次类推，</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合同价为</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人的</w:t>
      </w:r>
      <w:r>
        <w:rPr>
          <w:rFonts w:hint="eastAsia" w:ascii="宋体" w:hAnsi="宋体" w:cs="宋体"/>
          <w:color w:val="auto"/>
          <w:szCs w:val="21"/>
          <w:highlight w:val="none"/>
          <w:lang w:eastAsia="zh-CN"/>
        </w:rPr>
        <w:t>最终报价</w:t>
      </w:r>
      <w:r>
        <w:rPr>
          <w:rFonts w:hint="eastAsia" w:ascii="宋体" w:hAnsi="宋体" w:cs="宋体"/>
          <w:color w:val="auto"/>
          <w:szCs w:val="21"/>
          <w:highlight w:val="none"/>
        </w:rPr>
        <w:t>。</w:t>
      </w:r>
    </w:p>
    <w:p>
      <w:pPr>
        <w:widowControl/>
        <w:spacing w:line="500" w:lineRule="exact"/>
        <w:ind w:firstLine="420"/>
        <w:jc w:val="left"/>
        <w:rPr>
          <w:rFonts w:hint="eastAsia" w:ascii="宋体" w:hAnsi="宋体"/>
          <w:color w:val="auto"/>
          <w:szCs w:val="21"/>
          <w:highlight w:val="none"/>
          <w:lang w:eastAsia="zh-CN"/>
        </w:rPr>
      </w:pPr>
      <w:r>
        <w:rPr>
          <w:rFonts w:hint="eastAsia" w:ascii="宋体" w:hAnsi="宋体"/>
          <w:color w:val="auto"/>
          <w:szCs w:val="21"/>
          <w:highlight w:val="none"/>
          <w:lang w:eastAsia="zh-CN"/>
        </w:rPr>
        <w:t>3</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 xml:space="preserve"> 推荐</w:t>
      </w:r>
      <w:r>
        <w:rPr>
          <w:rFonts w:hint="eastAsia" w:ascii="宋体" w:hAnsi="宋体"/>
          <w:color w:val="auto"/>
          <w:szCs w:val="21"/>
          <w:highlight w:val="none"/>
          <w:lang w:val="en-US" w:eastAsia="zh-CN"/>
        </w:rPr>
        <w:t>成交</w:t>
      </w:r>
      <w:r>
        <w:rPr>
          <w:rFonts w:hint="eastAsia" w:ascii="宋体" w:hAnsi="宋体"/>
          <w:color w:val="auto"/>
          <w:szCs w:val="21"/>
          <w:highlight w:val="none"/>
          <w:lang w:eastAsia="zh-CN"/>
        </w:rPr>
        <w:t>候选人</w:t>
      </w:r>
    </w:p>
    <w:p>
      <w:pPr>
        <w:widowControl/>
        <w:spacing w:line="500" w:lineRule="exact"/>
        <w:ind w:firstLine="42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谈判小组根据以上</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办法向</w:t>
      </w:r>
      <w:r>
        <w:rPr>
          <w:rFonts w:hint="eastAsia" w:ascii="宋体" w:hAnsi="宋体"/>
          <w:color w:val="auto"/>
          <w:szCs w:val="21"/>
          <w:highlight w:val="none"/>
          <w:lang w:val="en-US" w:eastAsia="zh-CN"/>
        </w:rPr>
        <w:t>采购</w:t>
      </w:r>
      <w:r>
        <w:rPr>
          <w:rFonts w:hint="eastAsia" w:ascii="宋体" w:hAnsi="宋体"/>
          <w:color w:val="auto"/>
          <w:szCs w:val="21"/>
          <w:highlight w:val="none"/>
          <w:lang w:eastAsia="zh-CN"/>
        </w:rPr>
        <w:t>人推荐3名</w:t>
      </w:r>
      <w:r>
        <w:rPr>
          <w:rFonts w:hint="eastAsia" w:ascii="宋体" w:hAnsi="宋体"/>
          <w:color w:val="auto"/>
          <w:szCs w:val="21"/>
          <w:highlight w:val="none"/>
          <w:lang w:val="en-US" w:eastAsia="zh-CN"/>
        </w:rPr>
        <w:t>成交</w:t>
      </w:r>
      <w:r>
        <w:rPr>
          <w:rFonts w:hint="eastAsia" w:ascii="宋体" w:hAnsi="宋体"/>
          <w:color w:val="auto"/>
          <w:szCs w:val="21"/>
          <w:highlight w:val="none"/>
          <w:lang w:eastAsia="zh-CN"/>
        </w:rPr>
        <w:t>候选人。</w:t>
      </w:r>
    </w:p>
    <w:p>
      <w:pPr>
        <w:widowControl/>
        <w:spacing w:line="500" w:lineRule="exact"/>
        <w:ind w:firstLine="420"/>
        <w:jc w:val="left"/>
        <w:rPr>
          <w:rFonts w:hint="eastAsia" w:ascii="宋体" w:hAnsi="宋体"/>
          <w:color w:val="auto"/>
          <w:szCs w:val="21"/>
          <w:highlight w:val="none"/>
          <w:lang w:eastAsia="zh-CN"/>
        </w:rPr>
      </w:pPr>
      <w:r>
        <w:rPr>
          <w:rFonts w:hint="eastAsia" w:ascii="宋体" w:hAnsi="宋体"/>
          <w:color w:val="auto"/>
          <w:szCs w:val="21"/>
          <w:highlight w:val="none"/>
          <w:lang w:eastAsia="zh-CN"/>
        </w:rPr>
        <w:t>3</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评标结果</w:t>
      </w:r>
    </w:p>
    <w:p>
      <w:pPr>
        <w:widowControl/>
        <w:spacing w:line="500" w:lineRule="exact"/>
        <w:ind w:firstLine="420"/>
        <w:jc w:val="left"/>
        <w:rPr>
          <w:rFonts w:hint="eastAsia" w:ascii="宋体" w:hAnsi="宋体"/>
          <w:color w:val="auto"/>
          <w:szCs w:val="21"/>
          <w:highlight w:val="none"/>
          <w:lang w:eastAsia="zh-CN"/>
        </w:rPr>
      </w:pPr>
      <w:r>
        <w:rPr>
          <w:rFonts w:hint="eastAsia" w:ascii="宋体" w:hAnsi="宋体"/>
          <w:color w:val="auto"/>
          <w:szCs w:val="21"/>
          <w:highlight w:val="none"/>
          <w:lang w:eastAsia="zh-CN"/>
        </w:rPr>
        <w:t>3</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.1谈判小组完成谈判后，应当向</w:t>
      </w:r>
      <w:r>
        <w:rPr>
          <w:rFonts w:hint="eastAsia" w:ascii="宋体" w:hAnsi="宋体"/>
          <w:color w:val="auto"/>
          <w:szCs w:val="21"/>
          <w:highlight w:val="none"/>
          <w:lang w:val="en-US" w:eastAsia="zh-CN"/>
        </w:rPr>
        <w:t>采购</w:t>
      </w:r>
      <w:r>
        <w:rPr>
          <w:rFonts w:hint="eastAsia" w:ascii="宋体" w:hAnsi="宋体"/>
          <w:color w:val="auto"/>
          <w:szCs w:val="21"/>
          <w:highlight w:val="none"/>
          <w:lang w:eastAsia="zh-CN"/>
        </w:rPr>
        <w:t>人提交书面评标报告。</w:t>
      </w:r>
    </w:p>
    <w:p>
      <w:pPr>
        <w:widowControl/>
        <w:spacing w:line="500" w:lineRule="exact"/>
        <w:ind w:firstLine="420"/>
        <w:jc w:val="left"/>
        <w:rPr>
          <w:rFonts w:hint="eastAsia" w:ascii="宋体" w:hAnsi="宋体"/>
          <w:color w:val="auto"/>
          <w:szCs w:val="21"/>
          <w:highlight w:val="none"/>
          <w:lang w:eastAsia="zh-CN"/>
        </w:rPr>
      </w:pPr>
      <w:r>
        <w:rPr>
          <w:rFonts w:hint="eastAsia" w:ascii="宋体" w:hAnsi="宋体"/>
          <w:color w:val="auto"/>
          <w:szCs w:val="21"/>
          <w:highlight w:val="none"/>
          <w:lang w:eastAsia="zh-CN"/>
        </w:rPr>
        <w:t>3</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.2</w:t>
      </w:r>
      <w:r>
        <w:rPr>
          <w:rFonts w:hint="eastAsia" w:ascii="宋体" w:hAnsi="宋体"/>
          <w:color w:val="auto"/>
          <w:szCs w:val="21"/>
          <w:highlight w:val="none"/>
          <w:lang w:val="en-US" w:eastAsia="zh-CN"/>
        </w:rPr>
        <w:t>采购</w:t>
      </w:r>
      <w:r>
        <w:rPr>
          <w:rFonts w:hint="eastAsia" w:ascii="宋体" w:hAnsi="宋体"/>
          <w:color w:val="auto"/>
          <w:szCs w:val="21"/>
          <w:highlight w:val="none"/>
          <w:lang w:eastAsia="zh-CN"/>
        </w:rPr>
        <w:t>人根据评标报告推荐的</w:t>
      </w:r>
      <w:r>
        <w:rPr>
          <w:rFonts w:hint="eastAsia" w:ascii="宋体" w:hAnsi="宋体"/>
          <w:color w:val="auto"/>
          <w:szCs w:val="21"/>
          <w:highlight w:val="none"/>
          <w:lang w:val="en-US" w:eastAsia="zh-CN"/>
        </w:rPr>
        <w:t>成交</w:t>
      </w:r>
      <w:r>
        <w:rPr>
          <w:rFonts w:hint="eastAsia" w:ascii="宋体" w:hAnsi="宋体"/>
          <w:color w:val="auto"/>
          <w:szCs w:val="21"/>
          <w:highlight w:val="none"/>
          <w:lang w:eastAsia="zh-CN"/>
        </w:rPr>
        <w:t>候选人，依法确定</w:t>
      </w:r>
      <w:r>
        <w:rPr>
          <w:rFonts w:hint="eastAsia" w:ascii="宋体" w:hAnsi="宋体"/>
          <w:color w:val="auto"/>
          <w:szCs w:val="21"/>
          <w:highlight w:val="none"/>
          <w:lang w:val="en-US" w:eastAsia="zh-CN"/>
        </w:rPr>
        <w:t>成交</w:t>
      </w:r>
      <w:r>
        <w:rPr>
          <w:rFonts w:hint="eastAsia" w:ascii="宋体" w:hAnsi="宋体"/>
          <w:color w:val="auto"/>
          <w:szCs w:val="21"/>
          <w:highlight w:val="none"/>
          <w:lang w:eastAsia="zh-CN"/>
        </w:rPr>
        <w:t>人。</w:t>
      </w:r>
    </w:p>
    <w:p>
      <w:pPr>
        <w:widowControl/>
        <w:spacing w:line="500" w:lineRule="exact"/>
        <w:ind w:firstLine="420"/>
        <w:jc w:val="left"/>
        <w:rPr>
          <w:rFonts w:hint="eastAsia" w:ascii="宋体" w:hAnsi="宋体"/>
          <w:color w:val="auto"/>
          <w:szCs w:val="21"/>
          <w:highlight w:val="none"/>
          <w:lang w:eastAsia="zh-CN"/>
        </w:rPr>
      </w:pPr>
      <w:r>
        <w:rPr>
          <w:rFonts w:hint="eastAsia" w:ascii="宋体" w:hAnsi="宋体"/>
          <w:color w:val="auto"/>
          <w:szCs w:val="21"/>
          <w:highlight w:val="none"/>
          <w:lang w:eastAsia="zh-CN"/>
        </w:rPr>
        <w:t>3</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.3</w:t>
      </w:r>
      <w:r>
        <w:rPr>
          <w:rFonts w:hint="eastAsia" w:ascii="宋体" w:hAnsi="宋体"/>
          <w:color w:val="auto"/>
          <w:szCs w:val="21"/>
          <w:highlight w:val="none"/>
          <w:lang w:val="en-US" w:eastAsia="zh-CN"/>
        </w:rPr>
        <w:t>谈判响应</w:t>
      </w:r>
      <w:r>
        <w:rPr>
          <w:rFonts w:hint="eastAsia" w:ascii="宋体" w:hAnsi="宋体"/>
          <w:color w:val="auto"/>
          <w:szCs w:val="21"/>
          <w:highlight w:val="none"/>
          <w:lang w:eastAsia="zh-CN"/>
        </w:rPr>
        <w:t>人在本项目招标过程中有下列行为之一的，</w:t>
      </w:r>
      <w:r>
        <w:rPr>
          <w:rFonts w:hint="eastAsia" w:ascii="宋体" w:hAnsi="宋体"/>
          <w:color w:val="auto"/>
          <w:szCs w:val="21"/>
          <w:highlight w:val="none"/>
          <w:lang w:val="en-US" w:eastAsia="zh-CN"/>
        </w:rPr>
        <w:t>成交</w:t>
      </w:r>
      <w:r>
        <w:rPr>
          <w:rFonts w:hint="eastAsia" w:ascii="宋体" w:hAnsi="宋体"/>
          <w:color w:val="auto"/>
          <w:szCs w:val="21"/>
          <w:highlight w:val="none"/>
          <w:lang w:eastAsia="zh-CN"/>
        </w:rPr>
        <w:t>无效，给</w:t>
      </w:r>
      <w:r>
        <w:rPr>
          <w:rFonts w:hint="eastAsia" w:ascii="宋体" w:hAnsi="宋体"/>
          <w:color w:val="auto"/>
          <w:szCs w:val="21"/>
          <w:highlight w:val="none"/>
          <w:lang w:val="en-US" w:eastAsia="zh-CN"/>
        </w:rPr>
        <w:t>采购</w:t>
      </w:r>
      <w:r>
        <w:rPr>
          <w:rFonts w:hint="eastAsia" w:ascii="宋体" w:hAnsi="宋体"/>
          <w:color w:val="auto"/>
          <w:szCs w:val="21"/>
          <w:highlight w:val="none"/>
          <w:lang w:eastAsia="zh-CN"/>
        </w:rPr>
        <w:t>人造成的损失超过投标保证金数额的，</w:t>
      </w:r>
      <w:r>
        <w:rPr>
          <w:rFonts w:hint="eastAsia" w:ascii="宋体" w:hAnsi="宋体"/>
          <w:color w:val="auto"/>
          <w:szCs w:val="21"/>
          <w:highlight w:val="none"/>
          <w:lang w:val="en-US" w:eastAsia="zh-CN"/>
        </w:rPr>
        <w:t>谈判响应</w:t>
      </w:r>
      <w:r>
        <w:rPr>
          <w:rFonts w:hint="eastAsia" w:ascii="宋体" w:hAnsi="宋体"/>
          <w:color w:val="auto"/>
          <w:szCs w:val="21"/>
          <w:highlight w:val="none"/>
          <w:lang w:eastAsia="zh-CN"/>
        </w:rPr>
        <w:t>人还应对超过部分予以赔偿。构成犯罪的，依法追究刑事责任。</w:t>
      </w:r>
    </w:p>
    <w:p>
      <w:pPr>
        <w:widowControl/>
        <w:spacing w:line="500" w:lineRule="exact"/>
        <w:ind w:firstLine="420"/>
        <w:jc w:val="left"/>
        <w:rPr>
          <w:rFonts w:hint="eastAsia" w:ascii="宋体" w:hAnsi="宋体"/>
          <w:color w:val="auto"/>
          <w:szCs w:val="21"/>
          <w:highlight w:val="none"/>
          <w:lang w:eastAsia="zh-CN"/>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谈判响应</w:t>
      </w:r>
      <w:r>
        <w:rPr>
          <w:rFonts w:hint="eastAsia" w:ascii="宋体" w:hAnsi="宋体"/>
          <w:color w:val="auto"/>
          <w:szCs w:val="21"/>
          <w:highlight w:val="none"/>
          <w:lang w:eastAsia="zh-CN"/>
        </w:rPr>
        <w:t>人相互串通投标或者与</w:t>
      </w:r>
      <w:r>
        <w:rPr>
          <w:rFonts w:hint="eastAsia" w:ascii="宋体" w:hAnsi="宋体"/>
          <w:color w:val="auto"/>
          <w:szCs w:val="21"/>
          <w:highlight w:val="none"/>
          <w:lang w:val="en-US" w:eastAsia="zh-CN"/>
        </w:rPr>
        <w:t>采购</w:t>
      </w:r>
      <w:r>
        <w:rPr>
          <w:rFonts w:hint="eastAsia" w:ascii="宋体" w:hAnsi="宋体"/>
          <w:color w:val="auto"/>
          <w:szCs w:val="21"/>
          <w:highlight w:val="none"/>
          <w:lang w:eastAsia="zh-CN"/>
        </w:rPr>
        <w:t>人串通投标的；</w:t>
      </w:r>
    </w:p>
    <w:p>
      <w:pPr>
        <w:widowControl/>
        <w:spacing w:line="500" w:lineRule="exact"/>
        <w:ind w:firstLine="420"/>
        <w:jc w:val="left"/>
        <w:rPr>
          <w:rFonts w:hint="eastAsia" w:ascii="宋体" w:hAnsi="宋体"/>
          <w:color w:val="auto"/>
          <w:szCs w:val="21"/>
          <w:highlight w:val="none"/>
          <w:lang w:eastAsia="zh-CN"/>
        </w:rPr>
      </w:pPr>
      <w:r>
        <w:rPr>
          <w:rFonts w:hint="eastAsia" w:ascii="宋体" w:hAnsi="宋体"/>
          <w:color w:val="auto"/>
          <w:szCs w:val="21"/>
          <w:highlight w:val="none"/>
          <w:lang w:eastAsia="zh-CN"/>
        </w:rPr>
        <w:t>（2）</w:t>
      </w:r>
      <w:r>
        <w:rPr>
          <w:rFonts w:hint="eastAsia" w:ascii="宋体" w:hAnsi="宋体"/>
          <w:color w:val="auto"/>
          <w:szCs w:val="21"/>
          <w:highlight w:val="none"/>
          <w:lang w:val="en-US" w:eastAsia="zh-CN"/>
        </w:rPr>
        <w:t>谈判响应</w:t>
      </w:r>
      <w:r>
        <w:rPr>
          <w:rFonts w:hint="eastAsia" w:ascii="宋体" w:hAnsi="宋体"/>
          <w:color w:val="auto"/>
          <w:szCs w:val="21"/>
          <w:highlight w:val="none"/>
          <w:lang w:eastAsia="zh-CN"/>
        </w:rPr>
        <w:t>人以向采购人或者谈判小组成员行贿的手段谋取</w:t>
      </w:r>
      <w:r>
        <w:rPr>
          <w:rFonts w:hint="eastAsia" w:ascii="宋体" w:hAnsi="宋体"/>
          <w:color w:val="auto"/>
          <w:szCs w:val="21"/>
          <w:highlight w:val="none"/>
          <w:lang w:val="en-US" w:eastAsia="zh-CN"/>
        </w:rPr>
        <w:t>成交</w:t>
      </w:r>
      <w:r>
        <w:rPr>
          <w:rFonts w:hint="eastAsia" w:ascii="宋体" w:hAnsi="宋体"/>
          <w:color w:val="auto"/>
          <w:szCs w:val="21"/>
          <w:highlight w:val="none"/>
          <w:lang w:eastAsia="zh-CN"/>
        </w:rPr>
        <w:t>的；</w:t>
      </w:r>
    </w:p>
    <w:p>
      <w:pPr>
        <w:widowControl/>
        <w:spacing w:line="500" w:lineRule="exact"/>
        <w:ind w:firstLine="420"/>
        <w:jc w:val="left"/>
        <w:rPr>
          <w:rFonts w:hint="eastAsia" w:ascii="宋体" w:hAnsi="宋体"/>
          <w:color w:val="auto"/>
          <w:szCs w:val="21"/>
          <w:highlight w:val="none"/>
          <w:lang w:eastAsia="zh-CN"/>
        </w:rPr>
      </w:pPr>
      <w:r>
        <w:rPr>
          <w:rFonts w:hint="eastAsia" w:ascii="宋体" w:hAnsi="宋体"/>
          <w:color w:val="auto"/>
          <w:szCs w:val="21"/>
          <w:highlight w:val="none"/>
          <w:lang w:eastAsia="zh-CN"/>
        </w:rPr>
        <w:t>（3）</w:t>
      </w:r>
      <w:r>
        <w:rPr>
          <w:rFonts w:hint="eastAsia" w:ascii="宋体" w:hAnsi="宋体"/>
          <w:color w:val="auto"/>
          <w:szCs w:val="21"/>
          <w:highlight w:val="none"/>
          <w:lang w:val="en-US" w:eastAsia="zh-CN"/>
        </w:rPr>
        <w:t>谈判响应</w:t>
      </w:r>
      <w:r>
        <w:rPr>
          <w:rFonts w:hint="eastAsia" w:ascii="宋体" w:hAnsi="宋体"/>
          <w:color w:val="auto"/>
          <w:szCs w:val="21"/>
          <w:highlight w:val="none"/>
          <w:lang w:eastAsia="zh-CN"/>
        </w:rPr>
        <w:t>人以他人名义投标或者以其他方式弄虚作假，骗取</w:t>
      </w:r>
      <w:r>
        <w:rPr>
          <w:rFonts w:hint="eastAsia" w:ascii="宋体" w:hAnsi="宋体"/>
          <w:color w:val="auto"/>
          <w:szCs w:val="21"/>
          <w:highlight w:val="none"/>
          <w:lang w:val="en-US" w:eastAsia="zh-CN"/>
        </w:rPr>
        <w:t>成交</w:t>
      </w:r>
      <w:r>
        <w:rPr>
          <w:rFonts w:hint="eastAsia" w:ascii="宋体" w:hAnsi="宋体"/>
          <w:color w:val="auto"/>
          <w:szCs w:val="21"/>
          <w:highlight w:val="none"/>
          <w:lang w:eastAsia="zh-CN"/>
        </w:rPr>
        <w:t>的；</w:t>
      </w:r>
    </w:p>
    <w:p>
      <w:pPr>
        <w:widowControl/>
        <w:spacing w:line="500" w:lineRule="exact"/>
        <w:ind w:firstLine="420"/>
        <w:jc w:val="left"/>
        <w:rPr>
          <w:rFonts w:hint="eastAsia" w:ascii="宋体" w:hAnsi="宋体"/>
          <w:color w:val="auto"/>
          <w:szCs w:val="21"/>
          <w:highlight w:val="none"/>
          <w:lang w:eastAsia="zh-CN"/>
        </w:rPr>
      </w:pPr>
      <w:r>
        <w:rPr>
          <w:rFonts w:hint="eastAsia" w:ascii="宋体" w:hAnsi="宋体"/>
          <w:color w:val="auto"/>
          <w:szCs w:val="21"/>
          <w:highlight w:val="none"/>
          <w:lang w:eastAsia="zh-CN"/>
        </w:rPr>
        <w:t>（4）违法与采购人就投标价格、投标方案等实质性内容进行谈判，影响</w:t>
      </w:r>
      <w:r>
        <w:rPr>
          <w:rFonts w:hint="eastAsia" w:ascii="宋体" w:hAnsi="宋体"/>
          <w:color w:val="auto"/>
          <w:szCs w:val="21"/>
          <w:highlight w:val="none"/>
          <w:lang w:val="en-US" w:eastAsia="zh-CN"/>
        </w:rPr>
        <w:t>成交</w:t>
      </w:r>
      <w:r>
        <w:rPr>
          <w:rFonts w:hint="eastAsia" w:ascii="宋体" w:hAnsi="宋体"/>
          <w:color w:val="auto"/>
          <w:szCs w:val="21"/>
          <w:highlight w:val="none"/>
          <w:lang w:eastAsia="zh-CN"/>
        </w:rPr>
        <w:t>结果的；</w:t>
      </w:r>
    </w:p>
    <w:p>
      <w:pPr>
        <w:widowControl/>
        <w:spacing w:line="500" w:lineRule="exact"/>
        <w:ind w:firstLine="420"/>
        <w:jc w:val="left"/>
        <w:rPr>
          <w:rFonts w:hint="eastAsia" w:ascii="宋体" w:hAnsi="宋体"/>
          <w:color w:val="auto"/>
          <w:szCs w:val="21"/>
          <w:highlight w:val="none"/>
          <w:lang w:eastAsia="zh-CN"/>
        </w:rPr>
      </w:pPr>
      <w:r>
        <w:rPr>
          <w:rFonts w:hint="eastAsia" w:ascii="宋体" w:hAnsi="宋体"/>
          <w:color w:val="auto"/>
          <w:szCs w:val="21"/>
          <w:highlight w:val="none"/>
          <w:lang w:eastAsia="zh-CN"/>
        </w:rPr>
        <w:t>（5）</w:t>
      </w:r>
      <w:r>
        <w:rPr>
          <w:rFonts w:hint="eastAsia" w:ascii="宋体" w:hAnsi="宋体"/>
          <w:color w:val="auto"/>
          <w:szCs w:val="21"/>
          <w:highlight w:val="none"/>
          <w:lang w:val="en-US" w:eastAsia="zh-CN"/>
        </w:rPr>
        <w:t>成交</w:t>
      </w:r>
      <w:r>
        <w:rPr>
          <w:rFonts w:hint="eastAsia" w:ascii="宋体" w:hAnsi="宋体"/>
          <w:color w:val="auto"/>
          <w:szCs w:val="21"/>
          <w:highlight w:val="none"/>
          <w:lang w:eastAsia="zh-CN"/>
        </w:rPr>
        <w:t>人无正当理由不与</w:t>
      </w:r>
      <w:r>
        <w:rPr>
          <w:rFonts w:hint="eastAsia" w:ascii="宋体" w:hAnsi="宋体"/>
          <w:color w:val="auto"/>
          <w:szCs w:val="21"/>
          <w:highlight w:val="none"/>
          <w:lang w:val="en-US" w:eastAsia="zh-CN"/>
        </w:rPr>
        <w:t>采购</w:t>
      </w:r>
      <w:r>
        <w:rPr>
          <w:rFonts w:hint="eastAsia" w:ascii="宋体" w:hAnsi="宋体"/>
          <w:color w:val="auto"/>
          <w:szCs w:val="21"/>
          <w:highlight w:val="none"/>
          <w:lang w:eastAsia="zh-CN"/>
        </w:rPr>
        <w:t>人订立合同，在签订合同时向采购人提出附加条件，或者不按照</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文件要求提交履约保证金的；</w:t>
      </w:r>
    </w:p>
    <w:p>
      <w:pPr>
        <w:widowControl/>
        <w:spacing w:line="500" w:lineRule="exact"/>
        <w:ind w:firstLine="420"/>
        <w:jc w:val="lef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）拟派项目经理与其</w:t>
      </w:r>
      <w:r>
        <w:rPr>
          <w:rFonts w:hint="eastAsia" w:ascii="宋体" w:hAnsi="宋体"/>
          <w:color w:val="auto"/>
          <w:szCs w:val="21"/>
          <w:highlight w:val="none"/>
          <w:lang w:val="en-US" w:eastAsia="zh-CN"/>
        </w:rPr>
        <w:t>谈判响应</w:t>
      </w:r>
      <w:r>
        <w:rPr>
          <w:rFonts w:hint="eastAsia" w:ascii="宋体" w:hAnsi="宋体"/>
          <w:color w:val="auto"/>
          <w:szCs w:val="21"/>
          <w:highlight w:val="none"/>
          <w:lang w:eastAsia="zh-CN"/>
        </w:rPr>
        <w:t>文件中提供的“项目经理承诺”不符；</w:t>
      </w:r>
    </w:p>
    <w:p>
      <w:pPr>
        <w:widowControl/>
        <w:spacing w:line="500" w:lineRule="exact"/>
        <w:ind w:firstLine="420"/>
        <w:jc w:val="lef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）法律、法规规定及竞争性谈判文件约定的其他情形。</w:t>
      </w:r>
    </w:p>
    <w:p>
      <w:pPr>
        <w:widowControl/>
        <w:spacing w:line="500" w:lineRule="exact"/>
        <w:ind w:firstLine="420"/>
        <w:jc w:val="left"/>
        <w:rPr>
          <w:rFonts w:hint="eastAsia" w:ascii="宋体" w:hAnsi="宋体"/>
          <w:color w:val="auto"/>
          <w:szCs w:val="21"/>
          <w:highlight w:val="none"/>
          <w:lang w:eastAsia="zh-CN"/>
        </w:rPr>
      </w:pPr>
      <w:r>
        <w:rPr>
          <w:rFonts w:hint="eastAsia" w:ascii="宋体" w:hAnsi="宋体"/>
          <w:color w:val="auto"/>
          <w:szCs w:val="21"/>
          <w:highlight w:val="none"/>
          <w:lang w:eastAsia="zh-CN"/>
        </w:rPr>
        <w:t>注：如谈判响应人在本项目招标过程中有上述第（</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）项情形的，还应记该谈判响应人不良行为记录。</w:t>
      </w:r>
    </w:p>
    <w:p>
      <w:pPr>
        <w:widowControl/>
        <w:spacing w:line="500" w:lineRule="exact"/>
        <w:ind w:firstLine="420"/>
        <w:jc w:val="left"/>
        <w:rPr>
          <w:rFonts w:hint="eastAsia" w:ascii="宋体" w:hAnsi="宋体"/>
          <w:color w:val="auto"/>
          <w:szCs w:val="21"/>
          <w:highlight w:val="none"/>
          <w:lang w:eastAsia="zh-CN"/>
        </w:rPr>
      </w:pPr>
      <w:r>
        <w:rPr>
          <w:rFonts w:hint="eastAsia" w:ascii="宋体" w:hAnsi="宋体"/>
          <w:color w:val="auto"/>
          <w:szCs w:val="21"/>
          <w:highlight w:val="none"/>
          <w:lang w:eastAsia="zh-CN"/>
        </w:rPr>
        <w:t>3</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.4排名第一的</w:t>
      </w:r>
      <w:r>
        <w:rPr>
          <w:rFonts w:hint="eastAsia" w:ascii="宋体" w:hAnsi="宋体"/>
          <w:color w:val="auto"/>
          <w:szCs w:val="21"/>
          <w:highlight w:val="none"/>
          <w:lang w:val="en-US" w:eastAsia="zh-CN"/>
        </w:rPr>
        <w:t>成交</w:t>
      </w:r>
      <w:r>
        <w:rPr>
          <w:rFonts w:hint="eastAsia" w:ascii="宋体" w:hAnsi="宋体"/>
          <w:color w:val="auto"/>
          <w:szCs w:val="21"/>
          <w:highlight w:val="none"/>
          <w:lang w:eastAsia="zh-CN"/>
        </w:rPr>
        <w:t>候选人放弃</w:t>
      </w:r>
      <w:r>
        <w:rPr>
          <w:rFonts w:hint="eastAsia" w:ascii="宋体" w:hAnsi="宋体"/>
          <w:color w:val="auto"/>
          <w:szCs w:val="21"/>
          <w:highlight w:val="none"/>
          <w:lang w:val="en-US" w:eastAsia="zh-CN"/>
        </w:rPr>
        <w:t>成交</w:t>
      </w:r>
      <w:r>
        <w:rPr>
          <w:rFonts w:hint="eastAsia" w:ascii="宋体" w:hAnsi="宋体"/>
          <w:color w:val="auto"/>
          <w:szCs w:val="21"/>
          <w:highlight w:val="none"/>
          <w:lang w:eastAsia="zh-CN"/>
        </w:rPr>
        <w:t>、因不可抗力不能履行合同、不按照</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文件要求提交履约保证金，或者被查实存在影响</w:t>
      </w:r>
      <w:r>
        <w:rPr>
          <w:rFonts w:hint="eastAsia" w:ascii="宋体" w:hAnsi="宋体"/>
          <w:color w:val="auto"/>
          <w:szCs w:val="21"/>
          <w:highlight w:val="none"/>
          <w:lang w:val="en-US" w:eastAsia="zh-CN"/>
        </w:rPr>
        <w:t>成交</w:t>
      </w:r>
      <w:r>
        <w:rPr>
          <w:rFonts w:hint="eastAsia" w:ascii="宋体" w:hAnsi="宋体"/>
          <w:color w:val="auto"/>
          <w:szCs w:val="21"/>
          <w:highlight w:val="none"/>
          <w:lang w:eastAsia="zh-CN"/>
        </w:rPr>
        <w:t>结果的违法行为等情形，不符合</w:t>
      </w:r>
      <w:r>
        <w:rPr>
          <w:rFonts w:hint="eastAsia" w:ascii="宋体" w:hAnsi="宋体"/>
          <w:color w:val="auto"/>
          <w:szCs w:val="21"/>
          <w:highlight w:val="none"/>
          <w:lang w:val="en-US" w:eastAsia="zh-CN"/>
        </w:rPr>
        <w:t>成交</w:t>
      </w:r>
      <w:r>
        <w:rPr>
          <w:rFonts w:hint="eastAsia" w:ascii="宋体" w:hAnsi="宋体"/>
          <w:color w:val="auto"/>
          <w:szCs w:val="21"/>
          <w:highlight w:val="none"/>
          <w:lang w:eastAsia="zh-CN"/>
        </w:rPr>
        <w:t>条件的，</w:t>
      </w:r>
      <w:r>
        <w:rPr>
          <w:rFonts w:hint="eastAsia" w:ascii="宋体" w:hAnsi="宋体"/>
          <w:color w:val="auto"/>
          <w:szCs w:val="21"/>
          <w:highlight w:val="none"/>
          <w:lang w:val="en-US" w:eastAsia="zh-CN"/>
        </w:rPr>
        <w:t>采购</w:t>
      </w:r>
      <w:r>
        <w:rPr>
          <w:rFonts w:hint="eastAsia" w:ascii="宋体" w:hAnsi="宋体"/>
          <w:color w:val="auto"/>
          <w:szCs w:val="21"/>
          <w:highlight w:val="none"/>
          <w:lang w:eastAsia="zh-CN"/>
        </w:rPr>
        <w:t>人可以按照</w:t>
      </w:r>
      <w:r>
        <w:rPr>
          <w:rFonts w:hint="eastAsia" w:ascii="宋体" w:hAnsi="宋体"/>
          <w:color w:val="auto"/>
          <w:szCs w:val="21"/>
          <w:highlight w:val="none"/>
          <w:lang w:val="en-US" w:eastAsia="zh-CN"/>
        </w:rPr>
        <w:t>谈判小组</w:t>
      </w:r>
      <w:r>
        <w:rPr>
          <w:rFonts w:hint="eastAsia" w:ascii="宋体" w:hAnsi="宋体"/>
          <w:color w:val="auto"/>
          <w:szCs w:val="21"/>
          <w:highlight w:val="none"/>
          <w:lang w:eastAsia="zh-CN"/>
        </w:rPr>
        <w:t>提出的</w:t>
      </w:r>
      <w:r>
        <w:rPr>
          <w:rFonts w:hint="eastAsia" w:ascii="宋体" w:hAnsi="宋体"/>
          <w:color w:val="auto"/>
          <w:szCs w:val="21"/>
          <w:highlight w:val="none"/>
          <w:lang w:val="en-US" w:eastAsia="zh-CN"/>
        </w:rPr>
        <w:t>成交</w:t>
      </w:r>
      <w:r>
        <w:rPr>
          <w:rFonts w:hint="eastAsia" w:ascii="宋体" w:hAnsi="宋体"/>
          <w:color w:val="auto"/>
          <w:szCs w:val="21"/>
          <w:highlight w:val="none"/>
          <w:lang w:eastAsia="zh-CN"/>
        </w:rPr>
        <w:t>候选人名单排序依次确定其他</w:t>
      </w:r>
      <w:r>
        <w:rPr>
          <w:rFonts w:hint="eastAsia" w:ascii="宋体" w:hAnsi="宋体"/>
          <w:color w:val="auto"/>
          <w:szCs w:val="21"/>
          <w:highlight w:val="none"/>
          <w:lang w:val="en-US" w:eastAsia="zh-CN"/>
        </w:rPr>
        <w:t>成交</w:t>
      </w:r>
      <w:r>
        <w:rPr>
          <w:rFonts w:hint="eastAsia" w:ascii="宋体" w:hAnsi="宋体"/>
          <w:color w:val="auto"/>
          <w:szCs w:val="21"/>
          <w:highlight w:val="none"/>
          <w:lang w:eastAsia="zh-CN"/>
        </w:rPr>
        <w:t>候选人为</w:t>
      </w:r>
      <w:r>
        <w:rPr>
          <w:rFonts w:hint="eastAsia" w:ascii="宋体" w:hAnsi="宋体"/>
          <w:color w:val="auto"/>
          <w:szCs w:val="21"/>
          <w:highlight w:val="none"/>
          <w:lang w:val="en-US" w:eastAsia="zh-CN"/>
        </w:rPr>
        <w:t>成交</w:t>
      </w:r>
      <w:r>
        <w:rPr>
          <w:rFonts w:hint="eastAsia" w:ascii="宋体" w:hAnsi="宋体"/>
          <w:color w:val="auto"/>
          <w:szCs w:val="21"/>
          <w:highlight w:val="none"/>
          <w:lang w:eastAsia="zh-CN"/>
        </w:rPr>
        <w:t>人，也可以重新谈判。</w:t>
      </w:r>
    </w:p>
    <w:p>
      <w:pPr>
        <w:pStyle w:val="16"/>
        <w:pageBreakBefore w:val="0"/>
        <w:kinsoku/>
        <w:wordWrap/>
        <w:overflowPunct/>
        <w:topLinePunct w:val="0"/>
        <w:autoSpaceDE/>
        <w:autoSpaceDN/>
        <w:bidi w:val="0"/>
        <w:adjustRightInd/>
        <w:snapToGrid/>
        <w:spacing w:beforeAutospacing="0" w:afterAutospacing="0" w:line="400" w:lineRule="exact"/>
        <w:ind w:firstLine="422" w:firstLineChars="200"/>
        <w:textAlignment w:val="auto"/>
        <w:rPr>
          <w:rFonts w:hint="eastAsia" w:ascii="宋体" w:hAnsi="宋体" w:eastAsia="宋体" w:cs="宋体"/>
          <w:b/>
          <w:color w:val="auto"/>
          <w:sz w:val="21"/>
          <w:szCs w:val="21"/>
          <w:highlight w:val="none"/>
          <w:lang w:val="en-US"/>
        </w:rPr>
      </w:pPr>
      <w:r>
        <w:rPr>
          <w:rFonts w:hint="eastAsia" w:ascii="宋体" w:hAnsi="宋体" w:eastAsia="宋体" w:cs="宋体"/>
          <w:b/>
          <w:color w:val="auto"/>
          <w:sz w:val="21"/>
          <w:szCs w:val="21"/>
          <w:highlight w:val="none"/>
          <w:lang w:val="en-US" w:eastAsia="zh-CN"/>
        </w:rPr>
        <w:t>3</w:t>
      </w:r>
      <w:r>
        <w:rPr>
          <w:rFonts w:hint="eastAsia" w:hAnsi="宋体" w:cs="宋体"/>
          <w:b/>
          <w:color w:val="auto"/>
          <w:sz w:val="21"/>
          <w:szCs w:val="21"/>
          <w:highlight w:val="none"/>
          <w:lang w:val="en-US" w:eastAsia="zh-CN"/>
        </w:rPr>
        <w:t>3</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招标代理费、工程量清单和</w:t>
      </w:r>
      <w:r>
        <w:rPr>
          <w:rFonts w:hint="eastAsia" w:hAnsi="宋体" w:eastAsia="宋体" w:cs="宋体"/>
          <w:b/>
          <w:color w:val="auto"/>
          <w:sz w:val="21"/>
          <w:szCs w:val="21"/>
          <w:highlight w:val="none"/>
          <w:lang w:eastAsia="zh-CN"/>
        </w:rPr>
        <w:t>最高投标限价</w:t>
      </w:r>
      <w:r>
        <w:rPr>
          <w:rFonts w:hint="eastAsia" w:ascii="宋体" w:hAnsi="宋体" w:eastAsia="宋体" w:cs="宋体"/>
          <w:b/>
          <w:color w:val="auto"/>
          <w:sz w:val="21"/>
          <w:szCs w:val="21"/>
          <w:highlight w:val="none"/>
        </w:rPr>
        <w:t>编制费</w:t>
      </w:r>
    </w:p>
    <w:p>
      <w:pPr>
        <w:pStyle w:val="16"/>
        <w:pageBreakBefore w:val="0"/>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hAnsi="宋体" w:cs="宋体"/>
          <w:color w:val="auto"/>
          <w:highlight w:val="none"/>
          <w:lang w:val="en-US" w:eastAsia="zh-CN"/>
        </w:rPr>
        <w:t>3</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应在收到缴费通知后三个工作日按</w:t>
      </w:r>
      <w:r>
        <w:rPr>
          <w:rFonts w:hint="eastAsia" w:ascii="宋体" w:hAnsi="宋体" w:eastAsia="宋体" w:cs="宋体"/>
          <w:color w:val="auto"/>
          <w:highlight w:val="none"/>
          <w:lang w:eastAsia="zh-CN"/>
        </w:rPr>
        <w:t>竞争性谈判文件</w:t>
      </w:r>
      <w:r>
        <w:rPr>
          <w:rFonts w:hint="eastAsia" w:ascii="宋体" w:hAnsi="宋体" w:eastAsia="宋体" w:cs="宋体"/>
          <w:color w:val="auto"/>
          <w:highlight w:val="none"/>
        </w:rPr>
        <w:t>要求缴纳招标代理费、工程量清单和</w:t>
      </w:r>
      <w:r>
        <w:rPr>
          <w:rFonts w:hint="eastAsia" w:hAnsi="宋体" w:eastAsia="宋体" w:cs="宋体"/>
          <w:color w:val="auto"/>
          <w:highlight w:val="none"/>
          <w:lang w:eastAsia="zh-CN"/>
        </w:rPr>
        <w:t>最高投标限价</w:t>
      </w:r>
      <w:r>
        <w:rPr>
          <w:rFonts w:hint="eastAsia" w:ascii="宋体" w:hAnsi="宋体" w:eastAsia="宋体" w:cs="宋体"/>
          <w:color w:val="auto"/>
          <w:highlight w:val="none"/>
        </w:rPr>
        <w:t>编制费。</w:t>
      </w:r>
    </w:p>
    <w:p>
      <w:pPr>
        <w:pStyle w:val="16"/>
        <w:pageBreakBefore w:val="0"/>
        <w:kinsoku/>
        <w:wordWrap/>
        <w:overflowPunct/>
        <w:topLinePunct w:val="0"/>
        <w:autoSpaceDE/>
        <w:autoSpaceDN/>
        <w:bidi w:val="0"/>
        <w:adjustRightInd/>
        <w:snapToGrid/>
        <w:spacing w:beforeAutospacing="0" w:afterAutospacing="0" w:line="400" w:lineRule="exact"/>
        <w:ind w:firstLine="315" w:firstLineChars="150"/>
        <w:textAlignment w:val="auto"/>
        <w:rPr>
          <w:rFonts w:hint="eastAsia" w:ascii="宋体" w:hAnsi="宋体" w:eastAsia="宋体" w:cs="宋体"/>
          <w:color w:val="auto"/>
          <w:highlight w:val="none"/>
        </w:rPr>
      </w:pPr>
      <w:r>
        <w:rPr>
          <w:rFonts w:hint="eastAsia" w:hAnsi="宋体" w:eastAsia="宋体" w:cs="宋体"/>
          <w:color w:val="auto"/>
          <w:highlight w:val="none"/>
          <w:lang w:val="en-US" w:eastAsia="zh-CN"/>
        </w:rPr>
        <w:t>3</w:t>
      </w:r>
      <w:r>
        <w:rPr>
          <w:rFonts w:hint="eastAsia" w:hAnsi="宋体" w:cs="宋体"/>
          <w:color w:val="auto"/>
          <w:highlight w:val="none"/>
          <w:lang w:val="en-US" w:eastAsia="zh-CN"/>
        </w:rPr>
        <w:t>3</w:t>
      </w:r>
      <w:r>
        <w:rPr>
          <w:rFonts w:hint="eastAsia" w:ascii="宋体" w:hAnsi="宋体" w:eastAsia="宋体" w:cs="宋体"/>
          <w:color w:val="auto"/>
          <w:highlight w:val="none"/>
        </w:rPr>
        <w:t>.2招标代理费：按差额定率累进法计算。以</w:t>
      </w:r>
      <w:r>
        <w:rPr>
          <w:rFonts w:hint="eastAsia" w:ascii="宋体" w:hAnsi="宋体" w:eastAsia="宋体" w:cs="宋体"/>
          <w:color w:val="auto"/>
          <w:highlight w:val="none"/>
          <w:lang w:eastAsia="zh-CN"/>
        </w:rPr>
        <w:t>成交价</w:t>
      </w:r>
      <w:r>
        <w:rPr>
          <w:rFonts w:hint="eastAsia" w:ascii="宋体" w:hAnsi="宋体" w:eastAsia="宋体" w:cs="宋体"/>
          <w:color w:val="auto"/>
          <w:highlight w:val="none"/>
        </w:rPr>
        <w:t>为计算基数，按下表规定的80%收取：</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4345"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0</wp:posOffset>
                      </wp:positionV>
                      <wp:extent cx="2778760" cy="725170"/>
                      <wp:effectExtent l="1270" t="4445" r="1270" b="13335"/>
                      <wp:wrapNone/>
                      <wp:docPr id="2" name="Line 2"/>
                      <wp:cNvGraphicFramePr/>
                      <a:graphic xmlns:a="http://schemas.openxmlformats.org/drawingml/2006/main">
                        <a:graphicData uri="http://schemas.microsoft.com/office/word/2010/wordprocessingShape">
                          <wps:wsp>
                            <wps:cNvCnPr/>
                            <wps:spPr>
                              <a:xfrm>
                                <a:off x="0" y="0"/>
                                <a:ext cx="2778760" cy="7251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5.35pt;margin-top:0pt;height:57.1pt;width:218.8pt;z-index:251660288;mso-width-relative:page;mso-height-relative:page;" filled="f" stroked="t" coordsize="21600,21600" o:gfxdata="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LuKQtYAAAAI&#10;AQAADwAAAAAAAAABACAAAAAiAAAAZHJzL2Rvd25yZXYueG1sUEsBAhQAFAAAAAgAh07iQGxv8x7l&#10;AQAA7AMAAA4AAAAAAAAAAQAgAAAAJQEAAGRycy9lMm9Eb2MueG1sUEsFBgAAAAAGAAYAWQEAAHwF&#10;A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费率</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411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34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411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34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411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34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411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34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411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434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411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34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411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434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411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105" w:firstLine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34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411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34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411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34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411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pPr>
        <w:pStyle w:val="16"/>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hAnsi="宋体" w:cs="宋体"/>
          <w:color w:val="auto"/>
          <w:highlight w:val="none"/>
          <w:lang w:val="en-US" w:eastAsia="zh-CN"/>
        </w:rPr>
        <w:t>3</w:t>
      </w:r>
      <w:r>
        <w:rPr>
          <w:rFonts w:hint="eastAsia" w:ascii="宋体" w:hAnsi="宋体" w:eastAsia="宋体" w:cs="宋体"/>
          <w:color w:val="auto"/>
          <w:highlight w:val="none"/>
        </w:rPr>
        <w:t>.3工程量清单和</w:t>
      </w:r>
      <w:r>
        <w:rPr>
          <w:rFonts w:hint="eastAsia" w:hAnsi="宋体" w:eastAsia="宋体" w:cs="宋体"/>
          <w:color w:val="auto"/>
          <w:highlight w:val="none"/>
          <w:lang w:eastAsia="zh-CN"/>
        </w:rPr>
        <w:t>最高投标限价</w:t>
      </w:r>
      <w:r>
        <w:rPr>
          <w:rFonts w:hint="eastAsia" w:ascii="宋体" w:hAnsi="宋体" w:eastAsia="宋体" w:cs="宋体"/>
          <w:color w:val="auto"/>
          <w:highlight w:val="none"/>
        </w:rPr>
        <w:t>编制费：以</w:t>
      </w:r>
      <w:r>
        <w:rPr>
          <w:rFonts w:hint="eastAsia" w:ascii="宋体" w:hAnsi="宋体" w:eastAsia="宋体" w:cs="宋体"/>
          <w:color w:val="auto"/>
          <w:highlight w:val="none"/>
          <w:lang w:eastAsia="zh-CN"/>
        </w:rPr>
        <w:t>成交价</w:t>
      </w:r>
      <w:r>
        <w:rPr>
          <w:rFonts w:hint="eastAsia" w:ascii="宋体" w:hAnsi="宋体" w:eastAsia="宋体" w:cs="宋体"/>
          <w:color w:val="auto"/>
          <w:highlight w:val="none"/>
        </w:rPr>
        <w:t>为计算基数，按照</w:t>
      </w:r>
      <w:r>
        <w:rPr>
          <w:rFonts w:hint="eastAsia" w:ascii="宋体" w:hAnsi="宋体" w:eastAsia="宋体" w:cs="宋体"/>
          <w:color w:val="auto"/>
          <w:highlight w:val="none"/>
          <w:lang w:val="en-US" w:eastAsia="zh-CN"/>
        </w:rPr>
        <w:t>下表</w:t>
      </w:r>
      <w:r>
        <w:rPr>
          <w:rFonts w:hint="eastAsia" w:ascii="宋体" w:hAnsi="宋体" w:eastAsia="宋体" w:cs="宋体"/>
          <w:color w:val="auto"/>
          <w:highlight w:val="none"/>
        </w:rPr>
        <w:t>规定标准70%收取。</w:t>
      </w:r>
    </w:p>
    <w:tbl>
      <w:tblPr>
        <w:tblStyle w:val="31"/>
        <w:tblW w:w="0" w:type="auto"/>
        <w:jc w:val="center"/>
        <w:tblLayout w:type="fixed"/>
        <w:tblCellMar>
          <w:top w:w="0" w:type="dxa"/>
          <w:left w:w="0" w:type="dxa"/>
          <w:bottom w:w="0" w:type="dxa"/>
          <w:right w:w="0" w:type="dxa"/>
        </w:tblCellMar>
      </w:tblPr>
      <w:tblGrid>
        <w:gridCol w:w="1723"/>
        <w:gridCol w:w="837"/>
        <w:gridCol w:w="941"/>
        <w:gridCol w:w="579"/>
        <w:gridCol w:w="547"/>
        <w:gridCol w:w="588"/>
        <w:gridCol w:w="631"/>
        <w:gridCol w:w="575"/>
        <w:gridCol w:w="589"/>
        <w:gridCol w:w="727"/>
        <w:gridCol w:w="773"/>
      </w:tblGrid>
      <w:tr>
        <w:tblPrEx>
          <w:tblCellMar>
            <w:top w:w="0" w:type="dxa"/>
            <w:left w:w="0" w:type="dxa"/>
            <w:bottom w:w="0" w:type="dxa"/>
            <w:right w:w="0" w:type="dxa"/>
          </w:tblCellMar>
        </w:tblPrEx>
        <w:trPr>
          <w:trHeight w:val="546" w:hRule="atLeast"/>
          <w:jc w:val="center"/>
        </w:trPr>
        <w:tc>
          <w:tcPr>
            <w:tcW w:w="2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收费基础</w:t>
            </w:r>
          </w:p>
        </w:tc>
        <w:tc>
          <w:tcPr>
            <w:tcW w:w="94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工程类型</w:t>
            </w:r>
          </w:p>
        </w:tc>
        <w:tc>
          <w:tcPr>
            <w:tcW w:w="5009"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单位工程金额(万元)</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bCs/>
                <w:color w:val="auto"/>
                <w:sz w:val="21"/>
                <w:highlight w:val="none"/>
              </w:rPr>
              <w:t xml:space="preserve">费率：‰ </w:t>
            </w:r>
          </w:p>
        </w:tc>
      </w:tr>
      <w:tr>
        <w:tblPrEx>
          <w:tblCellMar>
            <w:top w:w="0" w:type="dxa"/>
            <w:left w:w="0" w:type="dxa"/>
            <w:bottom w:w="0" w:type="dxa"/>
            <w:right w:w="0" w:type="dxa"/>
          </w:tblCellMar>
        </w:tblPrEx>
        <w:trPr>
          <w:trHeight w:val="953" w:hRule="atLeast"/>
          <w:jc w:val="center"/>
        </w:trPr>
        <w:tc>
          <w:tcPr>
            <w:tcW w:w="2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0"/>
                <w:sz w:val="21"/>
                <w:szCs w:val="21"/>
                <w:highlight w:val="none"/>
              </w:rPr>
            </w:pPr>
          </w:p>
        </w:tc>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1"/>
                <w:szCs w:val="21"/>
                <w:highlight w:val="none"/>
              </w:rPr>
            </w:pPr>
          </w:p>
        </w:tc>
        <w:tc>
          <w:tcPr>
            <w:tcW w:w="57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w:t>
            </w: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以内</w:t>
            </w:r>
          </w:p>
        </w:tc>
        <w:tc>
          <w:tcPr>
            <w:tcW w:w="54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200</w:t>
            </w: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以内</w:t>
            </w:r>
          </w:p>
        </w:tc>
        <w:tc>
          <w:tcPr>
            <w:tcW w:w="58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500</w:t>
            </w: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以内</w:t>
            </w:r>
          </w:p>
        </w:tc>
        <w:tc>
          <w:tcPr>
            <w:tcW w:w="63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1000</w:t>
            </w: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以内</w:t>
            </w:r>
          </w:p>
        </w:tc>
        <w:tc>
          <w:tcPr>
            <w:tcW w:w="57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2000</w:t>
            </w: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以内</w:t>
            </w:r>
          </w:p>
        </w:tc>
        <w:tc>
          <w:tcPr>
            <w:tcW w:w="58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5000</w:t>
            </w: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以内</w:t>
            </w:r>
          </w:p>
        </w:tc>
        <w:tc>
          <w:tcPr>
            <w:tcW w:w="72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10000</w:t>
            </w: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以内</w:t>
            </w:r>
          </w:p>
        </w:tc>
        <w:tc>
          <w:tcPr>
            <w:tcW w:w="7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10000</w:t>
            </w: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w:t>
            </w:r>
          </w:p>
        </w:tc>
      </w:tr>
      <w:tr>
        <w:tblPrEx>
          <w:tblCellMar>
            <w:top w:w="0" w:type="dxa"/>
            <w:left w:w="0" w:type="dxa"/>
            <w:bottom w:w="0" w:type="dxa"/>
            <w:right w:w="0" w:type="dxa"/>
          </w:tblCellMar>
        </w:tblPrEx>
        <w:trPr>
          <w:trHeight w:val="546" w:hRule="atLeast"/>
          <w:jc w:val="center"/>
        </w:trPr>
        <w:tc>
          <w:tcPr>
            <w:tcW w:w="172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工程量清单编制</w:t>
            </w:r>
          </w:p>
        </w:tc>
        <w:tc>
          <w:tcPr>
            <w:tcW w:w="83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成交价</w:t>
            </w:r>
          </w:p>
        </w:tc>
        <w:tc>
          <w:tcPr>
            <w:tcW w:w="9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建筑工程</w:t>
            </w:r>
          </w:p>
        </w:tc>
        <w:tc>
          <w:tcPr>
            <w:tcW w:w="57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4.8</w:t>
            </w:r>
          </w:p>
        </w:tc>
        <w:tc>
          <w:tcPr>
            <w:tcW w:w="54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w:t>
            </w:r>
          </w:p>
        </w:tc>
        <w:tc>
          <w:tcPr>
            <w:tcW w:w="58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w:t>
            </w:r>
          </w:p>
        </w:tc>
        <w:tc>
          <w:tcPr>
            <w:tcW w:w="63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w:t>
            </w:r>
          </w:p>
        </w:tc>
        <w:tc>
          <w:tcPr>
            <w:tcW w:w="57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58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w:t>
            </w:r>
          </w:p>
        </w:tc>
        <w:tc>
          <w:tcPr>
            <w:tcW w:w="72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7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w:t>
            </w:r>
          </w:p>
        </w:tc>
      </w:tr>
      <w:tr>
        <w:tblPrEx>
          <w:tblCellMar>
            <w:top w:w="0" w:type="dxa"/>
            <w:left w:w="0" w:type="dxa"/>
            <w:bottom w:w="0" w:type="dxa"/>
            <w:right w:w="0" w:type="dxa"/>
          </w:tblCellMar>
        </w:tblPrEx>
        <w:trPr>
          <w:trHeight w:val="546" w:hRule="atLeast"/>
          <w:jc w:val="center"/>
        </w:trPr>
        <w:tc>
          <w:tcPr>
            <w:tcW w:w="172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1"/>
                <w:szCs w:val="21"/>
                <w:highlight w:val="none"/>
              </w:rPr>
            </w:pPr>
          </w:p>
        </w:tc>
        <w:tc>
          <w:tcPr>
            <w:tcW w:w="83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1"/>
                <w:szCs w:val="21"/>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安装工程</w:t>
            </w:r>
          </w:p>
        </w:tc>
        <w:tc>
          <w:tcPr>
            <w:tcW w:w="5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5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4.6</w:t>
            </w:r>
          </w:p>
        </w:tc>
        <w:tc>
          <w:tcPr>
            <w:tcW w:w="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w:t>
            </w:r>
          </w:p>
        </w:tc>
        <w:tc>
          <w:tcPr>
            <w:tcW w:w="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w:t>
            </w:r>
          </w:p>
        </w:tc>
      </w:tr>
      <w:tr>
        <w:tblPrEx>
          <w:tblCellMar>
            <w:top w:w="0" w:type="dxa"/>
            <w:left w:w="0" w:type="dxa"/>
            <w:bottom w:w="0" w:type="dxa"/>
            <w:right w:w="0" w:type="dxa"/>
          </w:tblCellMar>
        </w:tblPrEx>
        <w:trPr>
          <w:trHeight w:val="544" w:hRule="atLeast"/>
          <w:jc w:val="center"/>
        </w:trPr>
        <w:tc>
          <w:tcPr>
            <w:tcW w:w="172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最高投标限价</w:t>
            </w:r>
          </w:p>
        </w:tc>
        <w:tc>
          <w:tcPr>
            <w:tcW w:w="8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成交价</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建筑工程</w:t>
            </w:r>
          </w:p>
        </w:tc>
        <w:tc>
          <w:tcPr>
            <w:tcW w:w="5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tblPrEx>
          <w:tblCellMar>
            <w:top w:w="0" w:type="dxa"/>
            <w:left w:w="0" w:type="dxa"/>
            <w:bottom w:w="0" w:type="dxa"/>
            <w:right w:w="0" w:type="dxa"/>
          </w:tblCellMar>
        </w:tblPrEx>
        <w:trPr>
          <w:trHeight w:val="544" w:hRule="atLeast"/>
          <w:jc w:val="center"/>
        </w:trPr>
        <w:tc>
          <w:tcPr>
            <w:tcW w:w="17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0"/>
                <w:sz w:val="21"/>
                <w:szCs w:val="21"/>
                <w:highlight w:val="none"/>
              </w:rPr>
            </w:pPr>
          </w:p>
        </w:tc>
        <w:tc>
          <w:tcPr>
            <w:tcW w:w="8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0"/>
                <w:sz w:val="21"/>
                <w:szCs w:val="21"/>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安装工程</w:t>
            </w:r>
          </w:p>
        </w:tc>
        <w:tc>
          <w:tcPr>
            <w:tcW w:w="5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w:t>
            </w:r>
          </w:p>
        </w:tc>
        <w:tc>
          <w:tcPr>
            <w:tcW w:w="5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w:t>
            </w:r>
          </w:p>
        </w:tc>
        <w:tc>
          <w:tcPr>
            <w:tcW w:w="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r>
      <w:tr>
        <w:tblPrEx>
          <w:tblCellMar>
            <w:top w:w="0" w:type="dxa"/>
            <w:left w:w="0" w:type="dxa"/>
            <w:bottom w:w="0" w:type="dxa"/>
            <w:right w:w="0" w:type="dxa"/>
          </w:tblCellMar>
        </w:tblPrEx>
        <w:trPr>
          <w:trHeight w:val="566" w:hRule="atLeast"/>
          <w:jc w:val="center"/>
        </w:trPr>
        <w:tc>
          <w:tcPr>
            <w:tcW w:w="35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钢筋及预埋件计算</w:t>
            </w:r>
          </w:p>
        </w:tc>
        <w:tc>
          <w:tcPr>
            <w:tcW w:w="500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0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10元/吨</w:t>
            </w:r>
          </w:p>
        </w:tc>
      </w:tr>
    </w:tbl>
    <w:p>
      <w:pPr>
        <w:pStyle w:val="16"/>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说明：</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1 \* GB3 \* MERGEFORMAT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①</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按</w:t>
      </w:r>
      <w:r>
        <w:rPr>
          <w:rFonts w:hint="eastAsia" w:ascii="宋体" w:hAnsi="宋体" w:eastAsia="宋体" w:cs="宋体"/>
          <w:color w:val="auto"/>
          <w:highlight w:val="none"/>
          <w:lang w:eastAsia="zh-CN"/>
        </w:rPr>
        <w:t>上述</w:t>
      </w:r>
      <w:r>
        <w:rPr>
          <w:rFonts w:hint="eastAsia" w:ascii="宋体" w:hAnsi="宋体" w:eastAsia="宋体" w:cs="宋体"/>
          <w:color w:val="auto"/>
          <w:highlight w:val="none"/>
        </w:rPr>
        <w:t>收费标准</w:t>
      </w:r>
      <w:r>
        <w:rPr>
          <w:rFonts w:hint="eastAsia" w:ascii="宋体" w:hAnsi="宋体" w:eastAsia="宋体" w:cs="宋体"/>
          <w:color w:val="auto"/>
          <w:highlight w:val="none"/>
          <w:lang w:eastAsia="zh-CN"/>
        </w:rPr>
        <w:t>计算</w:t>
      </w:r>
      <w:r>
        <w:rPr>
          <w:rFonts w:hint="eastAsia" w:ascii="宋体" w:hAnsi="宋体" w:eastAsia="宋体" w:cs="宋体"/>
          <w:color w:val="auto"/>
          <w:highlight w:val="none"/>
        </w:rPr>
        <w:t>不足1000元的，按1000元计费。</w:t>
      </w:r>
    </w:p>
    <w:p>
      <w:pPr>
        <w:pStyle w:val="16"/>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2 \* GB3 \* MERGEFORMAT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②</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“建筑工程”适用建筑工程及配套的装饰工程、安装工程；市政工程等。“安装工程”适用单独安装工程、装饰工程（含二次装饰装修）；房屋修缮；园林绿化及仿古建筑工程等。</w:t>
      </w:r>
    </w:p>
    <w:bookmarkEnd w:id="47"/>
    <w:p>
      <w:pPr>
        <w:keepNext w:val="0"/>
        <w:keepLines w:val="0"/>
        <w:pageBreakBefore w:val="0"/>
        <w:widowControl/>
        <w:kinsoku/>
        <w:wordWrap/>
        <w:overflowPunct/>
        <w:topLinePunct w:val="0"/>
        <w:autoSpaceDE/>
        <w:autoSpaceDN/>
        <w:bidi w:val="0"/>
        <w:adjustRightInd/>
        <w:snapToGrid/>
        <w:spacing w:line="420" w:lineRule="exact"/>
        <w:ind w:firstLine="420" w:firstLineChars="200"/>
        <w:jc w:val="left"/>
        <w:textAlignment w:val="auto"/>
        <w:rPr>
          <w:rFonts w:ascii="宋体" w:hAnsi="宋体" w:cs="宋体"/>
          <w:color w:val="auto"/>
          <w:szCs w:val="21"/>
          <w:highlight w:val="none"/>
        </w:rPr>
      </w:pPr>
      <w:bookmarkStart w:id="68" w:name="_Toc417655921"/>
      <w:bookmarkStart w:id="69" w:name="_Toc418517858"/>
      <w:bookmarkStart w:id="70" w:name="_Toc15032"/>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成交通知书</w:t>
      </w:r>
      <w:bookmarkEnd w:id="68"/>
      <w:bookmarkEnd w:id="69"/>
      <w:bookmarkEnd w:id="70"/>
    </w:p>
    <w:p>
      <w:pPr>
        <w:keepNext w:val="0"/>
        <w:keepLines w:val="0"/>
        <w:pageBreakBefore w:val="0"/>
        <w:widowControl/>
        <w:kinsoku/>
        <w:wordWrap/>
        <w:overflowPunct/>
        <w:topLinePunct w:val="0"/>
        <w:autoSpaceDE/>
        <w:autoSpaceDN/>
        <w:bidi w:val="0"/>
        <w:adjustRightInd/>
        <w:snapToGrid/>
        <w:spacing w:line="420" w:lineRule="exact"/>
        <w:ind w:firstLine="420"/>
        <w:jc w:val="left"/>
        <w:textAlignment w:val="auto"/>
        <w:rPr>
          <w:rFonts w:ascii="宋体" w:hAnsi="宋体" w:cs="宋体"/>
          <w:color w:val="auto"/>
          <w:szCs w:val="21"/>
          <w:highlight w:val="none"/>
        </w:rPr>
      </w:pPr>
      <w:r>
        <w:rPr>
          <w:rFonts w:hint="eastAsia" w:ascii="宋体" w:hAnsi="宋体" w:cs="宋体"/>
          <w:color w:val="auto"/>
          <w:szCs w:val="21"/>
          <w:highlight w:val="none"/>
        </w:rPr>
        <w:t>采购人在评审报告推荐的成交候选人中按顺序确定成交人。采购人将向成交人发出成交通知书，同时在安庆市公共资源交易服务网、安庆市政府信息公开网、安徽省政府采购网、安徽省招标投标信息网上公告成交结果。谈判响应人如有质疑、投诉，必须在成交公告规定的质疑、投诉期内以书面形式向有关机构提出。</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采购人在收到评审报告5个工作日内未按评审报告推荐的成交候选人顺序确定成交人，又不能说明合法理由的，视同按评审报告推荐的顺序确定排名第一的成交候选人为成交人。</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color w:val="auto"/>
          <w:szCs w:val="21"/>
          <w:highlight w:val="none"/>
        </w:rPr>
      </w:pPr>
      <w:bookmarkStart w:id="71" w:name="_Toc417655920"/>
      <w:bookmarkStart w:id="72" w:name="_Toc2342"/>
      <w:bookmarkStart w:id="73" w:name="_Toc418517857"/>
      <w:r>
        <w:rPr>
          <w:rFonts w:hint="eastAsia" w:ascii="宋体" w:hAnsi="宋体" w:cs="宋体"/>
          <w:b/>
          <w:bCs/>
          <w:color w:val="auto"/>
          <w:szCs w:val="20"/>
          <w:highlight w:val="none"/>
        </w:rPr>
        <w:t xml:space="preserve">   </w:t>
      </w:r>
      <w:r>
        <w:rPr>
          <w:rFonts w:hint="eastAsia" w:ascii="宋体" w:hAnsi="宋体" w:cs="宋体"/>
          <w:color w:val="auto"/>
          <w:szCs w:val="21"/>
          <w:highlight w:val="none"/>
        </w:rPr>
        <w:t xml:space="preserve"> </w:t>
      </w:r>
      <w:bookmarkEnd w:id="71"/>
      <w:bookmarkEnd w:id="72"/>
      <w:bookmarkEnd w:id="73"/>
      <w:r>
        <w:rPr>
          <w:rFonts w:hint="eastAsia" w:ascii="宋体" w:hAnsi="宋体" w:cs="宋体"/>
          <w:color w:val="auto"/>
          <w:szCs w:val="21"/>
          <w:highlight w:val="none"/>
          <w:lang w:val="en-US" w:eastAsia="zh-CN"/>
        </w:rPr>
        <w:t>36.</w:t>
      </w:r>
      <w:r>
        <w:rPr>
          <w:rFonts w:hint="eastAsia" w:ascii="宋体" w:hAnsi="宋体" w:cs="宋体"/>
          <w:color w:val="auto"/>
          <w:szCs w:val="21"/>
          <w:highlight w:val="none"/>
        </w:rPr>
        <w:t>根据相关规定，对成交或成交结果提出质疑的，为成交或成交结果公告期限届满之日起七个工作日内以书面形式向采购人提出。建议在成交公告质疑期满（无异议）后，采购人与成交人签订采购合同。</w:t>
      </w:r>
    </w:p>
    <w:p>
      <w:pPr>
        <w:keepNext w:val="0"/>
        <w:keepLines w:val="0"/>
        <w:pageBreakBefore w:val="0"/>
        <w:widowControl/>
        <w:kinsoku/>
        <w:wordWrap/>
        <w:overflowPunct/>
        <w:topLinePunct w:val="0"/>
        <w:autoSpaceDE/>
        <w:autoSpaceDN/>
        <w:bidi w:val="0"/>
        <w:adjustRightInd/>
        <w:snapToGrid/>
        <w:spacing w:line="420" w:lineRule="exact"/>
        <w:jc w:val="left"/>
        <w:textAlignment w:val="auto"/>
        <w:outlineLvl w:val="2"/>
        <w:rPr>
          <w:rFonts w:ascii="宋体" w:hAnsi="宋体" w:cs="宋体"/>
          <w:b/>
          <w:bCs/>
          <w:color w:val="auto"/>
          <w:szCs w:val="21"/>
          <w:highlight w:val="none"/>
        </w:rPr>
      </w:pPr>
      <w:bookmarkStart w:id="74" w:name="_Toc23509"/>
      <w:r>
        <w:rPr>
          <w:rFonts w:hint="eastAsia" w:ascii="宋体" w:hAnsi="宋体" w:cs="宋体"/>
          <w:b/>
          <w:bCs/>
          <w:color w:val="auto"/>
          <w:szCs w:val="21"/>
          <w:highlight w:val="none"/>
        </w:rPr>
        <w:t xml:space="preserve">    </w:t>
      </w:r>
      <w:bookmarkStart w:id="75" w:name="_Toc29551"/>
      <w:r>
        <w:rPr>
          <w:rFonts w:hint="eastAsia" w:ascii="宋体" w:hAnsi="宋体" w:cs="宋体"/>
          <w:b/>
          <w:bCs/>
          <w:color w:val="auto"/>
          <w:szCs w:val="21"/>
          <w:highlight w:val="none"/>
        </w:rPr>
        <w:t>七、合同授予</w:t>
      </w:r>
      <w:bookmarkEnd w:id="74"/>
      <w:bookmarkEnd w:id="75"/>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    </w:t>
      </w:r>
      <w:bookmarkStart w:id="76" w:name="_Toc417655923"/>
      <w:bookmarkStart w:id="77" w:name="_Toc21358"/>
      <w:bookmarkStart w:id="78" w:name="_Toc418517860"/>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签订合同</w:t>
      </w:r>
      <w:bookmarkEnd w:id="76"/>
      <w:bookmarkEnd w:id="77"/>
      <w:bookmarkEnd w:id="78"/>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成交人的成交价即为合同价款。</w:t>
      </w:r>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成交人在收到成交通知书起</w:t>
      </w:r>
      <w:r>
        <w:rPr>
          <w:rFonts w:hint="eastAsia" w:ascii="宋体" w:hAnsi="宋体" w:cs="宋体"/>
          <w:color w:val="auto"/>
          <w:szCs w:val="21"/>
          <w:highlight w:val="none"/>
          <w:lang w:val="en-US" w:eastAsia="zh-CN"/>
        </w:rPr>
        <w:t>7个工作日</w:t>
      </w:r>
      <w:r>
        <w:rPr>
          <w:rFonts w:hint="eastAsia" w:ascii="宋体" w:hAnsi="宋体" w:cs="宋体"/>
          <w:color w:val="auto"/>
          <w:szCs w:val="21"/>
          <w:highlight w:val="none"/>
        </w:rPr>
        <w:t>内，与采购人签订合同。采购人应在合同签订后</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个工作日内将所有合同报安庆市公共资源交易监督管理局备案。</w:t>
      </w:r>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37.3</w:t>
      </w:r>
      <w:r>
        <w:rPr>
          <w:rFonts w:hint="eastAsia" w:ascii="宋体" w:hAnsi="宋体" w:cs="宋体"/>
          <w:color w:val="auto"/>
          <w:szCs w:val="21"/>
          <w:highlight w:val="none"/>
        </w:rPr>
        <w:t xml:space="preserve">成交人拒绝与采购人签订合同的，采购人可以按照评审报告推荐的成交候选人名单排序，确定下一候选人为成交人，也可以重新开展政府采购活动。 </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37.4</w:t>
      </w:r>
      <w:r>
        <w:rPr>
          <w:rFonts w:hint="eastAsia" w:ascii="宋体" w:hAnsi="宋体" w:cs="宋体"/>
          <w:bCs/>
          <w:color w:val="auto"/>
          <w:szCs w:val="21"/>
          <w:highlight w:val="none"/>
        </w:rPr>
        <w:t>采购单</w:t>
      </w:r>
      <w:r>
        <w:rPr>
          <w:rFonts w:hint="eastAsia" w:ascii="宋体" w:hAnsi="宋体" w:cs="宋体"/>
          <w:bCs/>
          <w:strike w:val="0"/>
          <w:dstrike w:val="0"/>
          <w:color w:val="auto"/>
          <w:szCs w:val="21"/>
          <w:highlight w:val="none"/>
        </w:rPr>
        <w:t>位对在市公管局完成备案的项目合同在安庆市公共资源交易服务网、</w:t>
      </w:r>
      <w:r>
        <w:rPr>
          <w:rFonts w:hint="eastAsia" w:ascii="宋体" w:hAnsi="宋体" w:cs="宋体"/>
          <w:strike w:val="0"/>
          <w:dstrike w:val="0"/>
          <w:color w:val="auto"/>
          <w:szCs w:val="21"/>
          <w:highlight w:val="none"/>
        </w:rPr>
        <w:t>安庆市政府信息公开网</w:t>
      </w:r>
      <w:r>
        <w:rPr>
          <w:rFonts w:hint="eastAsia" w:ascii="宋体" w:hAnsi="宋体" w:cs="宋体"/>
          <w:bCs/>
          <w:strike w:val="0"/>
          <w:dstrike w:val="0"/>
          <w:color w:val="auto"/>
          <w:szCs w:val="21"/>
          <w:highlight w:val="none"/>
        </w:rPr>
        <w:t>等网站进行公告。</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3</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履约保证金</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38</w:t>
      </w:r>
      <w:r>
        <w:rPr>
          <w:rFonts w:hint="eastAsia" w:ascii="宋体" w:hAnsi="宋体" w:cs="宋体"/>
          <w:color w:val="auto"/>
          <w:szCs w:val="21"/>
          <w:highlight w:val="none"/>
          <w:lang w:eastAsia="zh-CN"/>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合同协议书签署前，成交人应按本须知前附表规定的金额和形式向采购人提交履约担保。</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lang w:eastAsia="zh-CN"/>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若成交人不能按本须知第</w:t>
      </w:r>
      <w:r>
        <w:rPr>
          <w:rFonts w:hint="eastAsia" w:ascii="宋体" w:hAnsi="宋体" w:cs="宋体"/>
          <w:color w:val="auto"/>
          <w:szCs w:val="21"/>
          <w:highlight w:val="none"/>
          <w:lang w:val="en-US" w:eastAsia="zh-CN"/>
        </w:rPr>
        <w:t>38</w:t>
      </w:r>
      <w:r>
        <w:rPr>
          <w:rFonts w:hint="eastAsia" w:ascii="宋体" w:hAnsi="宋体" w:cs="宋体"/>
          <w:color w:val="auto"/>
          <w:szCs w:val="21"/>
          <w:highlight w:val="none"/>
          <w:lang w:eastAsia="zh-CN"/>
        </w:rPr>
        <w:t>.1款的规定执行，采购人将有充分的理由不与其签定合同，谈判保证金不予退还，给采购人造成的损失超过谈判保证金数额的，还应当对超过部分予以赔偿。</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承包人应当按照合同约定履行义务，完成本项目的施工。若承包人未按合同约定履行工期、质量、安全等工作，应承担违约责任，发包人根据实际情况，可按比例扣除履约保证金，承包人无法按合同约定继续履行合同义务的，发包人可勒令其无条件退场，且不退还履约保证金，给发包人造成损失的还应对超出部分予以赔偿。</w:t>
      </w:r>
    </w:p>
    <w:p>
      <w:pPr>
        <w:keepNext w:val="0"/>
        <w:keepLines w:val="0"/>
        <w:pageBreakBefore w:val="0"/>
        <w:widowControl/>
        <w:kinsoku/>
        <w:wordWrap/>
        <w:overflowPunct/>
        <w:topLinePunct w:val="0"/>
        <w:autoSpaceDE/>
        <w:autoSpaceDN/>
        <w:bidi w:val="0"/>
        <w:adjustRightInd/>
        <w:snapToGrid/>
        <w:spacing w:line="420" w:lineRule="exact"/>
        <w:ind w:firstLine="420"/>
        <w:jc w:val="left"/>
        <w:textAlignment w:val="auto"/>
        <w:rPr>
          <w:rFonts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履约担保退还应当按工程进度分阶段退还，竣工验收前退还不得超过履约担保的80%，最后一笔款项的最迟退还时限不得超过项目竣工验收后28天。</w:t>
      </w:r>
    </w:p>
    <w:p>
      <w:pPr>
        <w:keepNext w:val="0"/>
        <w:keepLines w:val="0"/>
        <w:pageBreakBefore w:val="0"/>
        <w:widowControl/>
        <w:kinsoku/>
        <w:wordWrap/>
        <w:overflowPunct/>
        <w:topLinePunct w:val="0"/>
        <w:autoSpaceDE/>
        <w:autoSpaceDN/>
        <w:bidi w:val="0"/>
        <w:adjustRightInd/>
        <w:snapToGrid/>
        <w:spacing w:line="420" w:lineRule="exact"/>
        <w:ind w:firstLine="420"/>
        <w:jc w:val="left"/>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39.</w:t>
      </w:r>
      <w:r>
        <w:rPr>
          <w:rFonts w:hint="eastAsia" w:ascii="宋体" w:hAnsi="宋体" w:cs="宋体"/>
          <w:b/>
          <w:bCs/>
          <w:color w:val="auto"/>
          <w:szCs w:val="21"/>
          <w:highlight w:val="none"/>
        </w:rPr>
        <w:t>未尽事宜</w:t>
      </w:r>
    </w:p>
    <w:p>
      <w:pPr>
        <w:keepNext w:val="0"/>
        <w:keepLines w:val="0"/>
        <w:pageBreakBefore w:val="0"/>
        <w:widowControl/>
        <w:kinsoku/>
        <w:wordWrap/>
        <w:overflowPunct/>
        <w:topLinePunct w:val="0"/>
        <w:autoSpaceDE/>
        <w:autoSpaceDN/>
        <w:bidi w:val="0"/>
        <w:adjustRightInd/>
        <w:snapToGrid/>
        <w:spacing w:line="420" w:lineRule="exact"/>
        <w:ind w:firstLine="420"/>
        <w:jc w:val="left"/>
        <w:textAlignment w:val="auto"/>
        <w:rPr>
          <w:rFonts w:ascii="宋体" w:hAnsi="宋体" w:cs="宋体"/>
          <w:color w:val="auto"/>
          <w:szCs w:val="21"/>
          <w:highlight w:val="none"/>
        </w:rPr>
      </w:pPr>
      <w:r>
        <w:rPr>
          <w:rFonts w:hint="eastAsia" w:ascii="宋体" w:hAnsi="宋体" w:cs="宋体"/>
          <w:color w:val="auto"/>
          <w:szCs w:val="21"/>
          <w:highlight w:val="none"/>
        </w:rPr>
        <w:t>按《中华人民共和国政府采购法》、《中华人民共和国政府采购法实施条例》及其他有关法律法规规定执行。</w:t>
      </w:r>
    </w:p>
    <w:p>
      <w:pPr>
        <w:widowControl/>
        <w:jc w:val="left"/>
        <w:rPr>
          <w:rFonts w:ascii="宋体" w:hAnsi="宋体" w:cs="宋体"/>
          <w:b/>
          <w:bCs/>
          <w:color w:val="auto"/>
          <w:highlight w:val="none"/>
        </w:rPr>
      </w:pPr>
      <w:r>
        <w:rPr>
          <w:rFonts w:ascii="宋体" w:hAnsi="宋体" w:cs="宋体"/>
          <w:color w:val="auto"/>
          <w:szCs w:val="21"/>
          <w:highlight w:val="none"/>
        </w:rPr>
        <w:br w:type="page"/>
      </w:r>
    </w:p>
    <w:p>
      <w:pPr>
        <w:pStyle w:val="3"/>
        <w:rPr>
          <w:rFonts w:hint="eastAsia" w:ascii="宋体" w:hAnsi="宋体" w:cs="宋体"/>
          <w:color w:val="auto"/>
          <w:highlight w:val="none"/>
        </w:rPr>
      </w:pPr>
      <w:bookmarkStart w:id="79" w:name="_Toc16542"/>
      <w:r>
        <w:rPr>
          <w:rFonts w:hint="eastAsia" w:ascii="宋体" w:hAnsi="宋体" w:cs="宋体"/>
          <w:color w:val="auto"/>
          <w:highlight w:val="none"/>
        </w:rPr>
        <w:t>第</w:t>
      </w:r>
      <w:r>
        <w:rPr>
          <w:rFonts w:hint="eastAsia" w:ascii="宋体" w:hAnsi="宋体" w:cs="宋体"/>
          <w:color w:val="auto"/>
          <w:highlight w:val="none"/>
          <w:lang w:val="en-US" w:eastAsia="zh-CN"/>
        </w:rPr>
        <w:t>三</w:t>
      </w:r>
      <w:r>
        <w:rPr>
          <w:rFonts w:hint="eastAsia" w:ascii="宋体" w:hAnsi="宋体" w:cs="宋体"/>
          <w:color w:val="auto"/>
          <w:highlight w:val="none"/>
        </w:rPr>
        <w:t>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合同条款</w:t>
      </w:r>
      <w:bookmarkEnd w:id="79"/>
    </w:p>
    <w:p>
      <w:pPr>
        <w:pStyle w:val="76"/>
        <w:pageBreakBefore w:val="0"/>
        <w:kinsoku/>
        <w:wordWrap/>
        <w:overflowPunct/>
        <w:topLinePunct w:val="0"/>
        <w:bidi w:val="0"/>
        <w:spacing w:before="0" w:beforeLines="0" w:beforeAutospacing="0" w:after="0" w:afterLines="0" w:afterAutospacing="0" w:line="240" w:lineRule="auto"/>
        <w:ind w:left="0" w:right="0" w:firstLine="643"/>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建设工程施工合同（</w:t>
      </w:r>
      <w:r>
        <w:rPr>
          <w:rFonts w:hint="eastAsia" w:ascii="宋体" w:hAnsi="宋体" w:eastAsia="宋体" w:cs="宋体"/>
          <w:bCs/>
          <w:color w:val="auto"/>
          <w:sz w:val="32"/>
          <w:szCs w:val="32"/>
          <w:highlight w:val="none"/>
        </w:rPr>
        <w:t>GF—201</w:t>
      </w:r>
      <w:r>
        <w:rPr>
          <w:rFonts w:hint="eastAsia" w:ascii="宋体" w:hAnsi="宋体" w:eastAsia="宋体" w:cs="宋体"/>
          <w:bCs/>
          <w:color w:val="auto"/>
          <w:sz w:val="32"/>
          <w:szCs w:val="32"/>
          <w:highlight w:val="none"/>
          <w:lang w:val="en-US" w:eastAsia="zh-CN"/>
        </w:rPr>
        <w:t>7</w:t>
      </w:r>
      <w:r>
        <w:rPr>
          <w:rFonts w:hint="eastAsia" w:ascii="宋体" w:hAnsi="宋体" w:eastAsia="宋体" w:cs="宋体"/>
          <w:bCs/>
          <w:color w:val="auto"/>
          <w:sz w:val="32"/>
          <w:szCs w:val="32"/>
          <w:highlight w:val="none"/>
        </w:rPr>
        <w:t>—0201</w:t>
      </w:r>
      <w:r>
        <w:rPr>
          <w:rFonts w:hint="eastAsia" w:ascii="宋体" w:hAnsi="宋体" w:eastAsia="宋体" w:cs="宋体"/>
          <w:b/>
          <w:color w:val="auto"/>
          <w:sz w:val="32"/>
          <w:szCs w:val="32"/>
          <w:highlight w:val="none"/>
        </w:rPr>
        <w:t>示范文本）</w:t>
      </w:r>
    </w:p>
    <w:p>
      <w:pPr>
        <w:pageBreakBefore w:val="0"/>
        <w:kinsoku/>
        <w:wordWrap/>
        <w:overflowPunct/>
        <w:topLinePunct w:val="0"/>
        <w:bidi w:val="0"/>
        <w:spacing w:line="240" w:lineRule="auto"/>
        <w:jc w:val="center"/>
        <w:rPr>
          <w:rFonts w:hint="eastAsia"/>
          <w:b/>
          <w:bCs/>
          <w:color w:val="auto"/>
          <w:sz w:val="32"/>
          <w:szCs w:val="40"/>
          <w:highlight w:val="none"/>
          <w:lang w:val="zh-CN"/>
        </w:rPr>
      </w:pPr>
      <w:bookmarkStart w:id="80" w:name="_Toc11581"/>
      <w:bookmarkStart w:id="81" w:name="_Toc22091"/>
      <w:bookmarkStart w:id="82" w:name="_Toc27346"/>
      <w:bookmarkStart w:id="83" w:name="_Toc296890982"/>
      <w:bookmarkStart w:id="84" w:name="_Toc296503025"/>
      <w:r>
        <w:rPr>
          <w:rFonts w:hint="eastAsia"/>
          <w:b/>
          <w:bCs/>
          <w:color w:val="auto"/>
          <w:sz w:val="32"/>
          <w:szCs w:val="40"/>
          <w:highlight w:val="none"/>
          <w:lang w:val="zh-CN"/>
        </w:rPr>
        <w:t>说明</w:t>
      </w:r>
      <w:bookmarkEnd w:id="80"/>
      <w:bookmarkEnd w:id="81"/>
      <w:bookmarkEnd w:id="82"/>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了指导建设工程施工合同当事人的签约行为，维护合同当事人的合法权益，依据《中华人民共和国民法典》、《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一、《示范文本》的组成</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《示范文本》由合同协议书、通用合同条款和专用合同条款三部分组成。</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（一）合同协议书</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（二）通用合同条款</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通用合同条款是合同当事人根据《中华人民共和国建筑法》、《中华人民共和国民法典》等法律法规的规定，就工程建设的实施及相关事项，对合同当事人的权利义务作出的原则性约定。</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（三）专用合同条款</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1.专用合同条款的编号应与相应的通用合同条款的编号一致；</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2.合同当事人可以通过对专用合同条款的修改，满足具体建设工程的特殊要求，避免直接修改通用合同条款；</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3.在专用合同条款中有横道线的地方，合同当事人可针对相应的通用合同条款进行细化、完善、补充、修改或另行约定；如无细化、完善、补充、修改或另行约定，则填写“无”或划“/”。</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二、《示范文本》的性质和适用范围</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bookmarkEnd w:id="83"/>
      <w:bookmarkEnd w:id="84"/>
      <w:bookmarkStart w:id="85" w:name="_Toc351203632"/>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r>
        <w:rPr>
          <w:rFonts w:hint="eastAsia" w:ascii="宋体" w:hAnsi="宋体" w:eastAsia="宋体" w:cs="宋体"/>
          <w:b/>
          <w:bCs/>
          <w:color w:val="auto"/>
          <w:sz w:val="36"/>
          <w:szCs w:val="21"/>
          <w:highlight w:val="none"/>
        </w:rPr>
        <w:t>第一部分 合同协议书</w:t>
      </w:r>
    </w:p>
    <w:p>
      <w:pPr>
        <w:pageBreakBefore w:val="0"/>
        <w:kinsoku/>
        <w:wordWrap/>
        <w:overflowPunct/>
        <w:topLinePunct w:val="0"/>
        <w:bidi w:val="0"/>
        <w:spacing w:line="240" w:lineRule="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发包人（全称）：</w:t>
      </w:r>
      <w:r>
        <w:rPr>
          <w:rFonts w:hint="eastAsia" w:ascii="宋体" w:hAnsi="宋体" w:eastAsia="宋体" w:cs="宋体"/>
          <w:b/>
          <w:color w:val="auto"/>
          <w:sz w:val="21"/>
          <w:szCs w:val="21"/>
          <w:highlight w:val="none"/>
          <w:u w:val="single"/>
        </w:rPr>
        <w:t>                       </w:t>
      </w:r>
    </w:p>
    <w:p>
      <w:pPr>
        <w:pageBreakBefore w:val="0"/>
        <w:kinsoku/>
        <w:wordWrap/>
        <w:overflowPunct/>
        <w:topLinePunct w:val="0"/>
        <w:bidi w:val="0"/>
        <w:spacing w:line="240" w:lineRule="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承包人（全称）：</w:t>
      </w:r>
      <w:r>
        <w:rPr>
          <w:rFonts w:hint="eastAsia" w:ascii="宋体" w:hAnsi="宋体" w:eastAsia="宋体" w:cs="宋体"/>
          <w:b/>
          <w:color w:val="auto"/>
          <w:sz w:val="21"/>
          <w:szCs w:val="21"/>
          <w:highlight w:val="none"/>
          <w:u w:val="single"/>
        </w:rPr>
        <w:t>                      </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根据《中华人民共和国民法典》、《中华人民共和国建筑法》及有关法律规定，遵循平等、自愿、公平和诚实信用的原则，双方就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工程施工及有关事项协商一致，共同达成如下协议：</w:t>
      </w:r>
    </w:p>
    <w:p>
      <w:pPr>
        <w:pStyle w:val="7"/>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86" w:name="_Toc351203481"/>
      <w:r>
        <w:rPr>
          <w:rFonts w:hint="eastAsia" w:ascii="宋体" w:hAnsi="宋体" w:eastAsia="宋体" w:cs="宋体"/>
          <w:b/>
          <w:bCs/>
          <w:color w:val="auto"/>
          <w:sz w:val="21"/>
          <w:szCs w:val="21"/>
          <w:highlight w:val="none"/>
        </w:rPr>
        <w:t>一、工程概况</w:t>
      </w:r>
      <w:bookmarkEnd w:id="86"/>
    </w:p>
    <w:p>
      <w:pPr>
        <w:pageBreakBefore w:val="0"/>
        <w:kinsoku/>
        <w:wordWrap/>
        <w:overflowPunct/>
        <w:topLinePunct w:val="0"/>
        <w:bidi w:val="0"/>
        <w:spacing w:line="24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1.工程名称：</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2.工程地点：</w:t>
      </w:r>
      <w:r>
        <w:rPr>
          <w:rFonts w:hint="eastAsia" w:ascii="宋体" w:hAnsi="宋体" w:eastAsia="宋体" w:cs="宋体"/>
          <w:color w:val="auto"/>
          <w:sz w:val="21"/>
          <w:szCs w:val="21"/>
          <w:highlight w:val="none"/>
          <w:u w:val="single"/>
        </w:rPr>
        <w:t xml:space="preserve">安庆市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3.工程立项批准文号：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pPr>
        <w:pageBreakBefore w:val="0"/>
        <w:kinsoku/>
        <w:wordWrap/>
        <w:overflowPunct/>
        <w:topLinePunct w:val="0"/>
        <w:bidi w:val="0"/>
        <w:spacing w:line="24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4.资金来源：</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pPr>
        <w:pageBreakBefore w:val="0"/>
        <w:kinsoku/>
        <w:wordWrap/>
        <w:overflowPunct/>
        <w:topLinePunct w:val="0"/>
        <w:bidi w:val="0"/>
        <w:spacing w:line="24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5.工程内容：</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施工图设计文件及工程量清单列示的全部内容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群体工程应附《承包人承揽工程项目一览表》（附件1）。</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6.工程承包范围：</w:t>
      </w:r>
      <w:r>
        <w:rPr>
          <w:rFonts w:hint="eastAsia" w:ascii="宋体" w:hAnsi="宋体" w:eastAsia="宋体" w:cs="宋体"/>
          <w:color w:val="auto"/>
          <w:sz w:val="21"/>
          <w:szCs w:val="21"/>
          <w:highlight w:val="none"/>
          <w:u w:val="single"/>
          <w:lang w:eastAsia="zh-CN"/>
        </w:rPr>
        <w:t>施工图设计文件及工程量清单列示的全部内容</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bCs/>
          <w:color w:val="auto"/>
          <w:sz w:val="21"/>
          <w:szCs w:val="21"/>
          <w:highlight w:val="none"/>
        </w:rPr>
      </w:pPr>
      <w:r>
        <w:rPr>
          <w:rFonts w:hint="eastAsia" w:ascii="宋体" w:hAnsi="宋体" w:eastAsia="宋体" w:cs="宋体"/>
          <w:b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87" w:name="_Toc351203482"/>
      <w:r>
        <w:rPr>
          <w:rFonts w:hint="eastAsia" w:ascii="宋体" w:hAnsi="宋体" w:eastAsia="宋体" w:cs="宋体"/>
          <w:b/>
          <w:bCs/>
          <w:color w:val="auto"/>
          <w:sz w:val="21"/>
          <w:szCs w:val="21"/>
          <w:highlight w:val="none"/>
        </w:rPr>
        <w:t>二、合同工期</w:t>
      </w:r>
      <w:bookmarkEnd w:id="87"/>
    </w:p>
    <w:p>
      <w:pPr>
        <w:pageBreakBefore w:val="0"/>
        <w:kinsoku/>
        <w:wordWrap/>
        <w:overflowPunct/>
        <w:topLinePunct w:val="0"/>
        <w:bidi w:val="0"/>
        <w:spacing w:line="24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pPr>
        <w:pageBreakBefore w:val="0"/>
        <w:kinsoku/>
        <w:wordWrap/>
        <w:overflowPunct/>
        <w:topLinePunct w:val="0"/>
        <w:bidi w:val="0"/>
        <w:spacing w:line="24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pPr>
        <w:pageBreakBefore w:val="0"/>
        <w:kinsoku/>
        <w:wordWrap/>
        <w:overflowPunct/>
        <w:topLinePunct w:val="0"/>
        <w:bidi w:val="0"/>
        <w:spacing w:line="24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天。工期总日历天数与根据前述计划开竣工日期计算的工期天数不一致的，以工期总日历天数为准。</w:t>
      </w:r>
    </w:p>
    <w:p>
      <w:pPr>
        <w:pStyle w:val="7"/>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r>
        <w:rPr>
          <w:rFonts w:hint="eastAsia" w:ascii="宋体" w:hAnsi="宋体" w:eastAsia="宋体" w:cs="宋体"/>
          <w:b/>
          <w:bCs/>
          <w:color w:val="auto"/>
          <w:sz w:val="21"/>
          <w:szCs w:val="21"/>
          <w:highlight w:val="none"/>
        </w:rPr>
        <w:t xml:space="preserve">    </w:t>
      </w:r>
      <w:bookmarkStart w:id="88" w:name="_Toc351203483"/>
      <w:r>
        <w:rPr>
          <w:rFonts w:hint="eastAsia" w:ascii="宋体" w:hAnsi="宋体" w:eastAsia="宋体" w:cs="宋体"/>
          <w:b/>
          <w:bCs/>
          <w:color w:val="auto"/>
          <w:sz w:val="21"/>
          <w:szCs w:val="21"/>
          <w:highlight w:val="none"/>
        </w:rPr>
        <w:t>三、质量标准</w:t>
      </w:r>
      <w:bookmarkEnd w:id="88"/>
    </w:p>
    <w:p>
      <w:pPr>
        <w:pageBreakBefore w:val="0"/>
        <w:kinsoku/>
        <w:wordWrap/>
        <w:overflowPunct/>
        <w:topLinePunct w:val="0"/>
        <w:bidi w:val="0"/>
        <w:spacing w:line="24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国家相关施工验收规范合格</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标准。</w:t>
      </w:r>
    </w:p>
    <w:p>
      <w:pPr>
        <w:pStyle w:val="7"/>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89" w:name="_Toc351203484"/>
      <w:r>
        <w:rPr>
          <w:rFonts w:hint="eastAsia" w:ascii="宋体" w:hAnsi="宋体" w:eastAsia="宋体" w:cs="宋体"/>
          <w:b/>
          <w:bCs/>
          <w:color w:val="auto"/>
          <w:sz w:val="21"/>
          <w:szCs w:val="21"/>
          <w:highlight w:val="none"/>
        </w:rPr>
        <w:t>四、签约合同价与合同价格形式</w:t>
      </w:r>
      <w:bookmarkEnd w:id="89"/>
      <w:r>
        <w:rPr>
          <w:rFonts w:hint="eastAsia" w:ascii="宋体" w:hAnsi="宋体" w:eastAsia="宋体" w:cs="宋体"/>
          <w:b w:val="0"/>
          <w:color w:val="auto"/>
          <w:sz w:val="21"/>
          <w:szCs w:val="21"/>
          <w:highlight w:val="none"/>
        </w:rPr>
        <w:tab/>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1.签约合同价为：</w:t>
      </w:r>
    </w:p>
    <w:p>
      <w:pPr>
        <w:pageBreakBefore w:val="0"/>
        <w:kinsoku/>
        <w:wordWrap/>
        <w:overflowPunct/>
        <w:topLinePunct w:val="0"/>
        <w:bidi w:val="0"/>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pPr>
        <w:pageBreakBefore w:val="0"/>
        <w:kinsoku/>
        <w:wordWrap/>
        <w:overflowPunct/>
        <w:topLinePunct w:val="0"/>
        <w:bidi w:val="0"/>
        <w:spacing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（2）材料和工程设备暂估价金额：</w:t>
      </w:r>
    </w:p>
    <w:p>
      <w:pPr>
        <w:pageBreakBefore w:val="0"/>
        <w:kinsoku/>
        <w:wordWrap/>
        <w:overflowPunct/>
        <w:topLinePunct w:val="0"/>
        <w:bidi w:val="0"/>
        <w:spacing w:line="24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i/>
          <w:iCs/>
          <w:color w:val="auto"/>
          <w:sz w:val="21"/>
          <w:szCs w:val="21"/>
          <w:highlight w:val="none"/>
          <w:u w:val="single"/>
          <w:lang w:eastAsia="zh-CN"/>
        </w:rPr>
        <w:t>填写含税金额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（3）专业工程暂估价金额：</w:t>
      </w:r>
    </w:p>
    <w:p>
      <w:pPr>
        <w:pageBreakBefore w:val="0"/>
        <w:kinsoku/>
        <w:wordWrap/>
        <w:overflowPunct/>
        <w:topLinePunct w:val="0"/>
        <w:bidi w:val="0"/>
        <w:spacing w:line="24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i/>
          <w:iCs/>
          <w:color w:val="auto"/>
          <w:sz w:val="21"/>
          <w:szCs w:val="21"/>
          <w:highlight w:val="none"/>
          <w:u w:val="single"/>
          <w:lang w:eastAsia="zh-CN"/>
        </w:rPr>
        <w:t>填写含税金额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（4）暂列金额：</w:t>
      </w:r>
    </w:p>
    <w:p>
      <w:pPr>
        <w:pageBreakBefore w:val="0"/>
        <w:kinsoku/>
        <w:wordWrap/>
        <w:overflowPunct/>
        <w:topLinePunct w:val="0"/>
        <w:bidi w:val="0"/>
        <w:spacing w:line="24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i/>
          <w:iCs/>
          <w:color w:val="auto"/>
          <w:sz w:val="21"/>
          <w:szCs w:val="21"/>
          <w:highlight w:val="none"/>
          <w:u w:val="single"/>
          <w:lang w:eastAsia="zh-CN"/>
        </w:rPr>
        <w:t>填写含税金额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2.合同价格形式：</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固定总价合同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bCs/>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90" w:name="_Toc351203485"/>
      <w:r>
        <w:rPr>
          <w:rFonts w:hint="eastAsia" w:ascii="宋体" w:hAnsi="宋体" w:eastAsia="宋体" w:cs="宋体"/>
          <w:b/>
          <w:bCs/>
          <w:color w:val="auto"/>
          <w:sz w:val="21"/>
          <w:szCs w:val="21"/>
          <w:highlight w:val="none"/>
        </w:rPr>
        <w:t>五、</w:t>
      </w:r>
      <w:bookmarkEnd w:id="90"/>
      <w:r>
        <w:rPr>
          <w:rFonts w:hint="eastAsia" w:ascii="宋体" w:hAnsi="宋体" w:eastAsia="宋体" w:cs="宋体"/>
          <w:b/>
          <w:bCs/>
          <w:color w:val="auto"/>
          <w:sz w:val="21"/>
          <w:szCs w:val="21"/>
          <w:highlight w:val="none"/>
        </w:rPr>
        <w:t>项目经理</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91" w:name="_Toc351203486"/>
      <w:r>
        <w:rPr>
          <w:rFonts w:hint="eastAsia" w:ascii="宋体" w:hAnsi="宋体" w:eastAsia="宋体" w:cs="宋体"/>
          <w:b/>
          <w:bCs/>
          <w:color w:val="auto"/>
          <w:sz w:val="21"/>
          <w:szCs w:val="21"/>
          <w:highlight w:val="none"/>
        </w:rPr>
        <w:t>六、合同文件构成</w:t>
      </w:r>
      <w:bookmarkEnd w:id="91"/>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eastAsia="zh-CN"/>
        </w:rPr>
        <w:t>成交</w:t>
      </w:r>
      <w:r>
        <w:rPr>
          <w:rFonts w:hint="eastAsia" w:ascii="宋体" w:hAnsi="宋体" w:eastAsia="宋体" w:cs="宋体"/>
          <w:bCs/>
          <w:color w:val="auto"/>
          <w:sz w:val="21"/>
          <w:szCs w:val="21"/>
          <w:highlight w:val="none"/>
        </w:rPr>
        <w:t>通知书（如果有）；</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cs="宋体"/>
          <w:bCs/>
          <w:color w:val="auto"/>
          <w:sz w:val="21"/>
          <w:szCs w:val="21"/>
          <w:highlight w:val="none"/>
          <w:lang w:eastAsia="zh-CN"/>
        </w:rPr>
        <w:t>谈判响应函</w:t>
      </w:r>
      <w:r>
        <w:rPr>
          <w:rFonts w:hint="eastAsia" w:ascii="宋体" w:hAnsi="宋体" w:eastAsia="宋体" w:cs="宋体"/>
          <w:bCs/>
          <w:color w:val="auto"/>
          <w:sz w:val="21"/>
          <w:szCs w:val="21"/>
          <w:highlight w:val="none"/>
        </w:rPr>
        <w:t xml:space="preserve">及其附录（如果有）； </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（3）专用合同条款及其附件；</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（4）通用合同条款；</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（5）技术标准和要求；</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（6）图纸；</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（7）已标价工程量清单或预算书；</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（8）其他合同文件。</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在合同订立及履行过程中形成的与合同有关的文件均构成合同文件组成部分。</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pPr>
        <w:pStyle w:val="7"/>
        <w:pageBreakBefore w:val="0"/>
        <w:kinsoku/>
        <w:wordWrap/>
        <w:overflowPunct/>
        <w:topLinePunct w:val="0"/>
        <w:bidi w:val="0"/>
        <w:spacing w:before="120" w:after="120" w:line="240" w:lineRule="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92" w:name="_Toc351203487"/>
      <w:r>
        <w:rPr>
          <w:rFonts w:hint="eastAsia" w:ascii="宋体" w:hAnsi="宋体" w:eastAsia="宋体" w:cs="宋体"/>
          <w:b/>
          <w:bCs/>
          <w:color w:val="auto"/>
          <w:sz w:val="21"/>
          <w:szCs w:val="21"/>
          <w:highlight w:val="none"/>
        </w:rPr>
        <w:t>七、承诺</w:t>
      </w:r>
      <w:bookmarkEnd w:id="92"/>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1.发包人承诺按照法律规定履行项目审批手续、筹集工程建设资金并按照合同约定的期限和方式支付合同价款。</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3.发包人和承包人通过招投标形式签订合同的，双方理解并承诺不再就同一工程另行签订与合同实质性内容相背离的协议。</w:t>
      </w:r>
    </w:p>
    <w:p>
      <w:pPr>
        <w:pStyle w:val="7"/>
        <w:pageBreakBefore w:val="0"/>
        <w:kinsoku/>
        <w:wordWrap/>
        <w:overflowPunct/>
        <w:topLinePunct w:val="0"/>
        <w:bidi w:val="0"/>
        <w:spacing w:line="240" w:lineRule="auto"/>
        <w:rPr>
          <w:rFonts w:hint="eastAsia" w:ascii="宋体" w:hAnsi="宋体" w:eastAsia="宋体" w:cs="宋体"/>
          <w:b/>
          <w:bCs/>
          <w:color w:val="auto"/>
          <w:sz w:val="21"/>
          <w:szCs w:val="21"/>
          <w:highlight w:val="none"/>
        </w:rPr>
      </w:pPr>
      <w:bookmarkStart w:id="93" w:name="_Toc351203488"/>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八、词语含义</w:t>
      </w:r>
      <w:bookmarkEnd w:id="93"/>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pPr>
        <w:pStyle w:val="7"/>
        <w:pageBreakBefore w:val="0"/>
        <w:kinsoku/>
        <w:wordWrap/>
        <w:overflowPunct/>
        <w:topLinePunct w:val="0"/>
        <w:bidi w:val="0"/>
        <w:spacing w:before="120" w:after="120" w:line="240" w:lineRule="auto"/>
        <w:rPr>
          <w:rFonts w:hint="eastAsia" w:ascii="宋体" w:hAnsi="宋体" w:eastAsia="宋体" w:cs="宋体"/>
          <w:b/>
          <w:bCs/>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94" w:name="_Toc351203489"/>
      <w:r>
        <w:rPr>
          <w:rFonts w:hint="eastAsia" w:ascii="宋体" w:hAnsi="宋体" w:eastAsia="宋体" w:cs="宋体"/>
          <w:b/>
          <w:bCs/>
          <w:color w:val="auto"/>
          <w:sz w:val="21"/>
          <w:szCs w:val="21"/>
          <w:highlight w:val="none"/>
        </w:rPr>
        <w:t>九、签订时间</w:t>
      </w:r>
      <w:bookmarkEnd w:id="94"/>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pPr>
        <w:pStyle w:val="7"/>
        <w:pageBreakBefore w:val="0"/>
        <w:kinsoku/>
        <w:wordWrap/>
        <w:overflowPunct/>
        <w:topLinePunct w:val="0"/>
        <w:bidi w:val="0"/>
        <w:spacing w:before="120" w:after="120" w:line="240" w:lineRule="auto"/>
        <w:rPr>
          <w:rFonts w:hint="eastAsia" w:ascii="宋体" w:hAnsi="宋体" w:eastAsia="宋体" w:cs="宋体"/>
          <w:b/>
          <w:bCs/>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95" w:name="_Toc351203490"/>
      <w:r>
        <w:rPr>
          <w:rFonts w:hint="eastAsia" w:ascii="宋体" w:hAnsi="宋体" w:eastAsia="宋体" w:cs="宋体"/>
          <w:b/>
          <w:bCs/>
          <w:color w:val="auto"/>
          <w:sz w:val="21"/>
          <w:szCs w:val="21"/>
          <w:highlight w:val="none"/>
        </w:rPr>
        <w:t>十、签订地点</w:t>
      </w:r>
      <w:bookmarkEnd w:id="95"/>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签订。</w:t>
      </w:r>
    </w:p>
    <w:p>
      <w:pPr>
        <w:pStyle w:val="7"/>
        <w:pageBreakBefore w:val="0"/>
        <w:kinsoku/>
        <w:wordWrap/>
        <w:overflowPunct/>
        <w:topLinePunct w:val="0"/>
        <w:bidi w:val="0"/>
        <w:spacing w:before="120" w:after="120" w:line="240" w:lineRule="auto"/>
        <w:rPr>
          <w:rFonts w:hint="eastAsia" w:ascii="宋体" w:hAnsi="宋体" w:eastAsia="宋体" w:cs="宋体"/>
          <w:b/>
          <w:bCs/>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96" w:name="_Toc351203491"/>
      <w:r>
        <w:rPr>
          <w:rFonts w:hint="eastAsia" w:ascii="宋体" w:hAnsi="宋体" w:eastAsia="宋体" w:cs="宋体"/>
          <w:b/>
          <w:bCs/>
          <w:color w:val="auto"/>
          <w:sz w:val="21"/>
          <w:szCs w:val="21"/>
          <w:highlight w:val="none"/>
        </w:rPr>
        <w:t>十一、补充协议</w:t>
      </w:r>
      <w:bookmarkEnd w:id="96"/>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pPr>
        <w:pStyle w:val="7"/>
        <w:pageBreakBefore w:val="0"/>
        <w:kinsoku/>
        <w:wordWrap/>
        <w:overflowPunct/>
        <w:topLinePunct w:val="0"/>
        <w:bidi w:val="0"/>
        <w:spacing w:before="120" w:after="120" w:line="240" w:lineRule="auto"/>
        <w:rPr>
          <w:rFonts w:hint="eastAsia" w:ascii="宋体" w:hAnsi="宋体" w:eastAsia="宋体" w:cs="宋体"/>
          <w:b/>
          <w:bCs/>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97" w:name="_Toc351203492"/>
      <w:r>
        <w:rPr>
          <w:rFonts w:hint="eastAsia" w:ascii="宋体" w:hAnsi="宋体" w:eastAsia="宋体" w:cs="宋体"/>
          <w:b/>
          <w:bCs/>
          <w:color w:val="auto"/>
          <w:sz w:val="21"/>
          <w:szCs w:val="21"/>
          <w:highlight w:val="none"/>
        </w:rPr>
        <w:t>十二、合同生效</w:t>
      </w:r>
      <w:bookmarkEnd w:id="97"/>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双方签字盖章之日起</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生效。</w:t>
      </w:r>
    </w:p>
    <w:p>
      <w:pPr>
        <w:pStyle w:val="7"/>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bookmarkStart w:id="98" w:name="_Toc351203493"/>
      <w:r>
        <w:rPr>
          <w:rFonts w:hint="eastAsia" w:ascii="宋体" w:hAnsi="宋体" w:eastAsia="宋体" w:cs="宋体"/>
          <w:b w:val="0"/>
          <w:color w:val="auto"/>
          <w:sz w:val="21"/>
          <w:szCs w:val="21"/>
          <w:highlight w:val="none"/>
        </w:rPr>
        <w:t>十三、合同份数</w:t>
      </w:r>
      <w:bookmarkEnd w:id="98"/>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份，均具有同等法律效力，发包人执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w:t>
      </w:r>
    </w:p>
    <w:p>
      <w:pPr>
        <w:pageBreakBefore w:val="0"/>
        <w:kinsoku/>
        <w:wordWrap/>
        <w:overflowPunct/>
        <w:topLinePunct w:val="0"/>
        <w:bidi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发包人：  (公章)             承包人：  (公章)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  法定代表人或其委托代理人：</w:t>
      </w:r>
    </w:p>
    <w:p>
      <w:pPr>
        <w:pageBreakBefore w:val="0"/>
        <w:kinsoku/>
        <w:wordWrap/>
        <w:overflowPunct/>
        <w:topLinePunct w:val="0"/>
        <w:bidi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（签字）                    （签字）</w:t>
      </w:r>
    </w:p>
    <w:p>
      <w:pPr>
        <w:keepNext w:val="0"/>
        <w:keepLines w:val="0"/>
        <w:pageBreakBefore w:val="0"/>
        <w:widowControl w:val="0"/>
        <w:tabs>
          <w:tab w:val="left" w:pos="4410"/>
        </w:tabs>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组织机构代码：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 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法定代表人：</w:t>
      </w:r>
      <w:r>
        <w:rPr>
          <w:rFonts w:hint="eastAsia" w:ascii="宋体" w:hAnsi="宋体" w:eastAsia="宋体" w:cs="宋体"/>
          <w:color w:val="auto"/>
          <w:sz w:val="21"/>
          <w:szCs w:val="21"/>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电子信箱：</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w:t>
      </w:r>
      <w:bookmarkEnd w:id="85"/>
      <w:r>
        <w:rPr>
          <w:rFonts w:hint="eastAsia" w:ascii="宋体" w:hAnsi="宋体" w:eastAsia="宋体" w:cs="宋体"/>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36"/>
          <w:szCs w:val="21"/>
          <w:highlight w:val="none"/>
        </w:rPr>
        <w:t>第二部分</w:t>
      </w:r>
      <w:r>
        <w:rPr>
          <w:rFonts w:hint="eastAsia" w:ascii="宋体" w:hAnsi="宋体" w:eastAsia="宋体" w:cs="宋体"/>
          <w:b/>
          <w:bCs/>
          <w:color w:val="auto"/>
          <w:sz w:val="36"/>
          <w:szCs w:val="21"/>
          <w:highlight w:val="none"/>
          <w:lang w:val="en-US" w:eastAsia="zh-CN"/>
        </w:rPr>
        <w:t xml:space="preserve"> </w:t>
      </w:r>
      <w:r>
        <w:rPr>
          <w:rFonts w:hint="eastAsia" w:ascii="宋体" w:hAnsi="宋体" w:eastAsia="宋体" w:cs="宋体"/>
          <w:b/>
          <w:bCs/>
          <w:color w:val="auto"/>
          <w:sz w:val="36"/>
          <w:szCs w:val="21"/>
          <w:highlight w:val="none"/>
        </w:rPr>
        <w:t>通用合同条款</w:t>
      </w:r>
    </w:p>
    <w:p>
      <w:pPr>
        <w:pStyle w:val="5"/>
        <w:pageBreakBefore w:val="0"/>
        <w:kinsoku/>
        <w:wordWrap/>
        <w:overflowPunct/>
        <w:topLinePunct w:val="0"/>
        <w:bidi w:val="0"/>
        <w:spacing w:line="240" w:lineRule="auto"/>
        <w:jc w:val="center"/>
        <w:rPr>
          <w:rFonts w:ascii="华文中宋" w:hAnsi="华文中宋" w:eastAsia="华文中宋"/>
          <w:color w:val="auto"/>
          <w:sz w:val="44"/>
          <w:szCs w:val="44"/>
          <w:highlight w:val="none"/>
        </w:rPr>
      </w:pPr>
      <w:bookmarkStart w:id="99" w:name="_Toc23346"/>
      <w:r>
        <w:rPr>
          <w:rFonts w:hint="eastAsia" w:ascii="宋体" w:hAnsi="宋体" w:eastAsia="宋体" w:cs="宋体"/>
          <w:color w:val="auto"/>
          <w:highlight w:val="none"/>
        </w:rPr>
        <w:t>（略）</w:t>
      </w:r>
      <w:bookmarkEnd w:id="99"/>
    </w:p>
    <w:p>
      <w:pPr>
        <w:pStyle w:val="5"/>
        <w:pageBreakBefore w:val="0"/>
        <w:kinsoku/>
        <w:wordWrap/>
        <w:overflowPunct/>
        <w:topLinePunct w:val="0"/>
        <w:bidi w:val="0"/>
        <w:spacing w:line="240" w:lineRule="auto"/>
        <w:jc w:val="center"/>
        <w:rPr>
          <w:rFonts w:hint="eastAsia" w:ascii="宋体" w:hAnsi="宋体" w:eastAsia="宋体" w:cs="宋体"/>
          <w:color w:val="auto"/>
          <w:sz w:val="36"/>
          <w:szCs w:val="36"/>
          <w:highlight w:val="none"/>
        </w:rPr>
      </w:pPr>
      <w:bookmarkStart w:id="100" w:name="_Toc13374"/>
      <w:r>
        <w:rPr>
          <w:rFonts w:hint="eastAsia" w:ascii="宋体" w:hAnsi="宋体" w:eastAsia="宋体" w:cs="宋体"/>
          <w:color w:val="auto"/>
          <w:sz w:val="36"/>
          <w:szCs w:val="36"/>
          <w:highlight w:val="none"/>
        </w:rPr>
        <w:t>第三部分 专用合同条款</w:t>
      </w:r>
      <w:bookmarkEnd w:id="100"/>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 一般约定</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01" w:name="_Toc21923"/>
      <w:bookmarkStart w:id="102" w:name="_Toc24876"/>
      <w:bookmarkStart w:id="103" w:name="_Toc27487"/>
      <w:r>
        <w:rPr>
          <w:rFonts w:hint="eastAsia" w:ascii="宋体" w:hAnsi="宋体" w:eastAsia="宋体" w:cs="宋体"/>
          <w:color w:val="auto"/>
          <w:sz w:val="21"/>
          <w:szCs w:val="21"/>
          <w:highlight w:val="none"/>
        </w:rPr>
        <w:t>1.1 词语定义</w:t>
      </w:r>
      <w:bookmarkEnd w:id="101"/>
      <w:bookmarkEnd w:id="102"/>
      <w:bookmarkEnd w:id="103"/>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1.1.1合同</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1.1.1.10其他合同文件包括：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 xml:space="preserve"> 执行通用条款</w:t>
      </w: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line="240" w:lineRule="auto"/>
        <w:ind w:left="1650" w:hanging="1155" w:hangingChars="5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line="240" w:lineRule="auto"/>
        <w:ind w:left="1650" w:hanging="1155" w:hangingChars="55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合同当事人及其他相关方</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1.1.2.4监理人：</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设计人：</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1.1.3.7 作为施工现场组成部分的其他场所包括：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用于施工需要的临时占地</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无</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用于施工需要的临时占地</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1.3法律 </w:t>
      </w:r>
    </w:p>
    <w:p>
      <w:pPr>
        <w:pageBreakBefore w:val="0"/>
        <w:kinsoku/>
        <w:wordWrap/>
        <w:overflowPunct/>
        <w:topLinePunct w:val="0"/>
        <w:autoSpaceDE w:val="0"/>
        <w:autoSpaceDN w:val="0"/>
        <w:bidi w:val="0"/>
        <w:adjustRightIn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执行</w:t>
      </w:r>
      <w:r>
        <w:rPr>
          <w:rFonts w:hint="eastAsia" w:ascii="宋体" w:hAnsi="宋体" w:cs="宋体"/>
          <w:color w:val="auto"/>
          <w:szCs w:val="21"/>
          <w:highlight w:val="none"/>
          <w:u w:val="single"/>
          <w:lang w:eastAsia="zh-CN"/>
        </w:rPr>
        <w:t>竞争性谈判文件</w:t>
      </w:r>
      <w:r>
        <w:rPr>
          <w:rFonts w:hint="eastAsia" w:ascii="宋体" w:hAnsi="宋体" w:eastAsia="宋体" w:cs="宋体"/>
          <w:color w:val="auto"/>
          <w:szCs w:val="21"/>
          <w:highlight w:val="none"/>
          <w:u w:val="single"/>
        </w:rPr>
        <w:t>及通用条款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标准和规范</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1.4.1适用于工程的标准规范包括：</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执行</w:t>
      </w:r>
      <w:r>
        <w:rPr>
          <w:rFonts w:hint="eastAsia" w:ascii="宋体" w:hAnsi="宋体" w:cs="宋体"/>
          <w:color w:val="auto"/>
          <w:szCs w:val="21"/>
          <w:highlight w:val="none"/>
          <w:u w:val="single"/>
          <w:lang w:eastAsia="zh-CN"/>
        </w:rPr>
        <w:t>竞争性谈判文件</w:t>
      </w:r>
      <w:r>
        <w:rPr>
          <w:rFonts w:hint="eastAsia" w:ascii="宋体" w:hAnsi="宋体" w:eastAsia="宋体" w:cs="宋体"/>
          <w:color w:val="auto"/>
          <w:szCs w:val="21"/>
          <w:highlight w:val="none"/>
          <w:u w:val="single"/>
        </w:rPr>
        <w:t>及通用条款</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1.4.3发包人对工程的技术标准和功能要求的特殊要求：</w:t>
      </w:r>
      <w:r>
        <w:rPr>
          <w:rFonts w:hint="eastAsia" w:ascii="宋体" w:hAnsi="宋体" w:eastAsia="宋体" w:cs="宋体"/>
          <w:color w:val="auto"/>
          <w:kern w:val="0"/>
          <w:sz w:val="21"/>
          <w:szCs w:val="21"/>
          <w:highlight w:val="none"/>
          <w:u w:val="single"/>
          <w:lang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04" w:name="_Toc18402"/>
      <w:bookmarkStart w:id="105" w:name="_Toc23259"/>
      <w:bookmarkStart w:id="106" w:name="_Toc23870"/>
      <w:r>
        <w:rPr>
          <w:rFonts w:hint="eastAsia" w:ascii="宋体" w:hAnsi="宋体" w:eastAsia="宋体" w:cs="宋体"/>
          <w:color w:val="auto"/>
          <w:sz w:val="21"/>
          <w:szCs w:val="21"/>
          <w:highlight w:val="none"/>
        </w:rPr>
        <w:t>1.5 合同文件的优先顺序</w:t>
      </w:r>
      <w:bookmarkEnd w:id="104"/>
      <w:bookmarkEnd w:id="105"/>
      <w:bookmarkEnd w:id="106"/>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竞争性谈判文件</w:t>
      </w:r>
      <w:r>
        <w:rPr>
          <w:rFonts w:hint="eastAsia" w:ascii="宋体" w:hAnsi="宋体" w:eastAsia="宋体" w:cs="宋体"/>
          <w:color w:val="auto"/>
          <w:szCs w:val="21"/>
          <w:highlight w:val="none"/>
        </w:rPr>
        <w:t>；</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（3）合同协议书；</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（4）合同专用条款；</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（5）合同通用条款；</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eastAsia="zh-CN"/>
        </w:rPr>
        <w:t>谈判响应函</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谈判响应文件</w:t>
      </w:r>
      <w:r>
        <w:rPr>
          <w:rFonts w:hint="eastAsia" w:ascii="宋体" w:hAnsi="宋体" w:eastAsia="宋体" w:cs="宋体"/>
          <w:color w:val="auto"/>
          <w:szCs w:val="21"/>
          <w:highlight w:val="none"/>
        </w:rPr>
        <w:t>；</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（7）已标价的工程量清单；</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（8）列入合同的投标辅助资料。</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07" w:name="_Toc12884"/>
      <w:bookmarkStart w:id="108" w:name="_Toc31059"/>
      <w:bookmarkStart w:id="109" w:name="_Toc22017"/>
      <w:r>
        <w:rPr>
          <w:rFonts w:hint="eastAsia" w:ascii="宋体" w:hAnsi="宋体" w:eastAsia="宋体" w:cs="宋体"/>
          <w:color w:val="auto"/>
          <w:sz w:val="21"/>
          <w:szCs w:val="21"/>
          <w:highlight w:val="none"/>
        </w:rPr>
        <w:t>1.6 图纸和承包人文件</w:t>
      </w:r>
      <w:bookmarkEnd w:id="107"/>
      <w:bookmarkEnd w:id="108"/>
      <w:bookmarkEnd w:id="109"/>
      <w:r>
        <w:rPr>
          <w:rFonts w:hint="eastAsia" w:ascii="宋体" w:hAnsi="宋体" w:eastAsia="宋体" w:cs="宋体"/>
          <w:color w:val="auto"/>
          <w:sz w:val="21"/>
          <w:szCs w:val="21"/>
          <w:highlight w:val="none"/>
        </w:rPr>
        <w:tab/>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发包人向承包人提供图纸的期限：</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合同签订后三日内</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发包人向承包人提供图纸的内容：</w:t>
      </w:r>
      <w:r>
        <w:rPr>
          <w:rFonts w:hint="eastAsia" w:ascii="宋体" w:hAnsi="宋体" w:cs="宋体"/>
          <w:color w:val="auto"/>
          <w:szCs w:val="21"/>
          <w:highlight w:val="none"/>
          <w:u w:val="single"/>
        </w:rPr>
        <w:t xml:space="preserve">      原建筑图纸；设计单位方案说明   </w:t>
      </w:r>
      <w:r>
        <w:rPr>
          <w:rFonts w:hint="eastAsia" w:ascii="宋体" w:hAnsi="宋体" w:cs="宋体"/>
          <w:color w:val="auto"/>
          <w:szCs w:val="21"/>
          <w:highlight w:val="none"/>
          <w:u w:val="single"/>
          <w:lang w:eastAsia="zh-CN"/>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发包人向承包人提供图纸的数量：</w:t>
      </w:r>
      <w:r>
        <w:rPr>
          <w:rFonts w:hint="eastAsia" w:ascii="宋体" w:hAnsi="宋体" w:cs="宋体"/>
          <w:color w:val="auto"/>
          <w:szCs w:val="21"/>
          <w:highlight w:val="none"/>
          <w:u w:val="single"/>
        </w:rPr>
        <w:t>  原建筑图纸一套、PDF建筑图纸一套</w:t>
      </w:r>
      <w:r>
        <w:rPr>
          <w:rFonts w:hint="eastAsia" w:ascii="宋体" w:hAnsi="宋体" w:cs="宋体"/>
          <w:color w:val="auto"/>
          <w:szCs w:val="21"/>
          <w:highlight w:val="none"/>
          <w:u w:val="single"/>
          <w:lang w:eastAsia="zh-CN"/>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pPr>
        <w:pageBreakBefore w:val="0"/>
        <w:kinsoku/>
        <w:wordWrap/>
        <w:overflowPunct/>
        <w:topLinePunct w:val="0"/>
        <w:bidi w:val="0"/>
        <w:spacing w:line="240" w:lineRule="auto"/>
        <w:ind w:left="596" w:leftChars="28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u w:val="single"/>
        </w:rPr>
        <w:t xml:space="preserve"> 工程开工前3天</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u w:val="single"/>
        </w:rPr>
        <w:t>叁份</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 xml:space="preserve"> 纸质版两份，电子版一份</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Cs w:val="21"/>
          <w:highlight w:val="none"/>
          <w:u w:val="single"/>
        </w:rPr>
        <w:t>承包人提交全部资料后七日内</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现场图纸准备</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10" w:name="_Toc17217"/>
      <w:bookmarkStart w:id="111" w:name="_Toc19592"/>
      <w:bookmarkStart w:id="112" w:name="_Toc14830"/>
      <w:r>
        <w:rPr>
          <w:rFonts w:hint="eastAsia" w:ascii="宋体" w:hAnsi="宋体" w:eastAsia="宋体" w:cs="宋体"/>
          <w:color w:val="auto"/>
          <w:sz w:val="21"/>
          <w:szCs w:val="21"/>
          <w:highlight w:val="none"/>
        </w:rPr>
        <w:t>1.7 联络</w:t>
      </w:r>
      <w:bookmarkEnd w:id="110"/>
      <w:bookmarkEnd w:id="111"/>
      <w:bookmarkEnd w:id="112"/>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sz w:val="21"/>
          <w:szCs w:val="21"/>
          <w:highlight w:val="none"/>
          <w:u w:val="single"/>
          <w:lang w:eastAsia="zh-CN"/>
        </w:rPr>
        <w:t>七</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sz w:val="21"/>
          <w:szCs w:val="21"/>
          <w:highlight w:val="none"/>
          <w:u w:val="single"/>
        </w:rPr>
        <w:t>     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sz w:val="21"/>
          <w:szCs w:val="21"/>
          <w:highlight w:val="none"/>
          <w:u w:val="single"/>
        </w:rPr>
        <w:t>          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施工现场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sz w:val="21"/>
          <w:szCs w:val="21"/>
          <w:highlight w:val="none"/>
          <w:u w:val="single"/>
        </w:rPr>
        <w:t> 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施工现场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sz w:val="21"/>
          <w:szCs w:val="21"/>
          <w:highlight w:val="none"/>
          <w:u w:val="single"/>
        </w:rPr>
        <w:t>          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13" w:name="_Toc8730"/>
      <w:bookmarkStart w:id="114" w:name="_Toc15291"/>
      <w:bookmarkStart w:id="115" w:name="_Toc4481"/>
      <w:r>
        <w:rPr>
          <w:rFonts w:hint="eastAsia" w:ascii="宋体" w:hAnsi="宋体" w:eastAsia="宋体" w:cs="宋体"/>
          <w:color w:val="auto"/>
          <w:sz w:val="21"/>
          <w:szCs w:val="21"/>
          <w:highlight w:val="none"/>
        </w:rPr>
        <w:t>1.10 交通运输</w:t>
      </w:r>
      <w:bookmarkEnd w:id="113"/>
      <w:bookmarkEnd w:id="114"/>
      <w:bookmarkEnd w:id="115"/>
    </w:p>
    <w:p>
      <w:pPr>
        <w:pageBreakBefore w:val="0"/>
        <w:kinsoku/>
        <w:wordWrap/>
        <w:overflowPunct/>
        <w:topLinePunct w:val="0"/>
        <w:bidi w:val="0"/>
        <w:spacing w:line="240" w:lineRule="auto"/>
        <w:ind w:firstLine="420" w:firstLineChars="200"/>
        <w:outlineLvl w:val="0"/>
        <w:rPr>
          <w:rFonts w:hint="eastAsia" w:ascii="宋体" w:hAnsi="宋体" w:eastAsia="宋体" w:cs="宋体"/>
          <w:color w:val="auto"/>
          <w:sz w:val="21"/>
          <w:szCs w:val="21"/>
          <w:highlight w:val="none"/>
        </w:rPr>
      </w:pPr>
      <w:bookmarkStart w:id="116" w:name="_Toc9447"/>
      <w:bookmarkStart w:id="117" w:name="_Toc26505"/>
      <w:bookmarkStart w:id="118" w:name="_Toc2418"/>
      <w:r>
        <w:rPr>
          <w:rFonts w:hint="eastAsia" w:ascii="宋体" w:hAnsi="宋体" w:eastAsia="宋体" w:cs="宋体"/>
          <w:color w:val="auto"/>
          <w:sz w:val="21"/>
          <w:szCs w:val="21"/>
          <w:highlight w:val="none"/>
        </w:rPr>
        <w:t>1.10.1 出入现场的权利</w:t>
      </w:r>
      <w:bookmarkEnd w:id="116"/>
      <w:bookmarkEnd w:id="117"/>
      <w:bookmarkEnd w:id="118"/>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承包人应对出入施工现场的车辆进行管理，工程运输车辆应符合安庆市城市管理有关规定</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outlineLvl w:val="0"/>
        <w:rPr>
          <w:rFonts w:hint="eastAsia" w:ascii="宋体" w:hAnsi="宋体" w:eastAsia="宋体" w:cs="宋体"/>
          <w:color w:val="auto"/>
          <w:sz w:val="21"/>
          <w:szCs w:val="21"/>
          <w:highlight w:val="none"/>
        </w:rPr>
      </w:pPr>
      <w:bookmarkStart w:id="119" w:name="_Toc6024"/>
      <w:bookmarkStart w:id="120" w:name="_Toc8371"/>
      <w:bookmarkStart w:id="121" w:name="_Toc12638"/>
      <w:r>
        <w:rPr>
          <w:rFonts w:hint="eastAsia" w:ascii="宋体" w:hAnsi="宋体" w:eastAsia="宋体" w:cs="宋体"/>
          <w:color w:val="auto"/>
          <w:sz w:val="21"/>
          <w:szCs w:val="21"/>
          <w:highlight w:val="none"/>
        </w:rPr>
        <w:t>1.10.3 场内交通</w:t>
      </w:r>
      <w:bookmarkEnd w:id="119"/>
      <w:bookmarkEnd w:id="120"/>
      <w:bookmarkEnd w:id="121"/>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规划红线</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不提供</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1.10.4超大件和超重件的运输</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承担。</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22" w:name="_Toc20090"/>
      <w:bookmarkStart w:id="123" w:name="_Toc10302"/>
      <w:bookmarkStart w:id="124" w:name="_Toc14580"/>
      <w:r>
        <w:rPr>
          <w:rFonts w:hint="eastAsia" w:ascii="宋体" w:hAnsi="宋体" w:eastAsia="宋体" w:cs="宋体"/>
          <w:color w:val="auto"/>
          <w:sz w:val="21"/>
          <w:szCs w:val="21"/>
          <w:highlight w:val="none"/>
        </w:rPr>
        <w:t>1.11 知识产权</w:t>
      </w:r>
      <w:bookmarkEnd w:id="122"/>
      <w:bookmarkEnd w:id="123"/>
      <w:bookmarkEnd w:id="124"/>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关于承包人为实施工程所编制文件的著作权的归属：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outlineLvl w:val="0"/>
        <w:rPr>
          <w:rFonts w:hint="eastAsia" w:ascii="宋体" w:hAnsi="宋体" w:eastAsia="宋体" w:cs="宋体"/>
          <w:color w:val="auto"/>
          <w:kern w:val="0"/>
          <w:sz w:val="21"/>
          <w:szCs w:val="21"/>
          <w:highlight w:val="none"/>
        </w:rPr>
      </w:pPr>
      <w:bookmarkStart w:id="125" w:name="_Toc18982"/>
      <w:bookmarkStart w:id="126" w:name="_Toc19571"/>
      <w:bookmarkStart w:id="127" w:name="_Toc32068"/>
      <w:r>
        <w:rPr>
          <w:rFonts w:hint="eastAsia" w:ascii="宋体" w:hAnsi="宋体" w:eastAsia="宋体" w:cs="宋体"/>
          <w:color w:val="auto"/>
          <w:sz w:val="21"/>
          <w:szCs w:val="21"/>
          <w:highlight w:val="none"/>
        </w:rPr>
        <w:t>1.11.4 承包人在施工过程中所采用的专利、专有技术、技术秘密的使用费的承担方式：</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bookmarkEnd w:id="125"/>
      <w:bookmarkEnd w:id="126"/>
      <w:bookmarkEnd w:id="127"/>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1.13工程量清单错误的修正</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出现工程量清单错误时，是否调整合同价格：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w:t>
      </w:r>
      <w:r>
        <w:rPr>
          <w:rFonts w:hint="eastAsia" w:ascii="宋体" w:hAnsi="宋体" w:cs="宋体"/>
          <w:color w:val="auto"/>
          <w:szCs w:val="21"/>
          <w:highlight w:val="none"/>
          <w:u w:val="single"/>
          <w:lang w:eastAsia="zh-CN"/>
        </w:rPr>
        <w:t>竞争性谈判文件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允许调整合同价格的工程量偏差范围：</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执行</w:t>
      </w:r>
      <w:r>
        <w:rPr>
          <w:rFonts w:hint="eastAsia" w:ascii="宋体" w:hAnsi="宋体" w:cs="宋体"/>
          <w:color w:val="auto"/>
          <w:szCs w:val="21"/>
          <w:highlight w:val="none"/>
          <w:u w:val="single"/>
          <w:lang w:eastAsia="zh-CN"/>
        </w:rPr>
        <w:t>竞争性谈判文件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 发包人</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28" w:name="_Toc16291"/>
      <w:bookmarkStart w:id="129" w:name="_Toc15537"/>
      <w:bookmarkStart w:id="130" w:name="_Toc6535"/>
      <w:r>
        <w:rPr>
          <w:rFonts w:hint="eastAsia" w:ascii="宋体" w:hAnsi="宋体" w:eastAsia="宋体" w:cs="宋体"/>
          <w:color w:val="auto"/>
          <w:sz w:val="21"/>
          <w:szCs w:val="21"/>
          <w:highlight w:val="none"/>
        </w:rPr>
        <w:t>2.2 发包人代表</w:t>
      </w:r>
      <w:bookmarkEnd w:id="128"/>
      <w:bookmarkEnd w:id="129"/>
      <w:bookmarkEnd w:id="130"/>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Cs w:val="21"/>
          <w:highlight w:val="none"/>
          <w:u w:val="single"/>
        </w:rPr>
        <w:t>除设计变更、费用调整、工期延长及其他法律、法规和政策性规定须由发包人批准才能行使职权的事项外，其它执行</w:t>
      </w:r>
      <w:r>
        <w:rPr>
          <w:rFonts w:hint="eastAsia" w:ascii="宋体" w:hAnsi="宋体" w:cs="宋体"/>
          <w:color w:val="auto"/>
          <w:szCs w:val="21"/>
          <w:highlight w:val="none"/>
          <w:u w:val="single"/>
          <w:lang w:eastAsia="zh-CN"/>
        </w:rPr>
        <w:t>竞争性谈判文件</w:t>
      </w:r>
      <w:r>
        <w:rPr>
          <w:rFonts w:hint="eastAsia" w:ascii="宋体" w:hAnsi="宋体" w:eastAsia="宋体" w:cs="宋体"/>
          <w:color w:val="auto"/>
          <w:szCs w:val="21"/>
          <w:highlight w:val="none"/>
          <w:u w:val="single"/>
        </w:rPr>
        <w:t>及通用条款</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31" w:name="_Toc6072"/>
      <w:bookmarkStart w:id="132" w:name="_Toc12298"/>
      <w:bookmarkStart w:id="133" w:name="_Toc1786"/>
      <w:r>
        <w:rPr>
          <w:rFonts w:hint="eastAsia" w:ascii="宋体" w:hAnsi="宋体" w:eastAsia="宋体" w:cs="宋体"/>
          <w:color w:val="auto"/>
          <w:sz w:val="21"/>
          <w:szCs w:val="21"/>
          <w:highlight w:val="none"/>
        </w:rPr>
        <w:t>2.4 施工现场、施工条件和基础资料的提供</w:t>
      </w:r>
      <w:bookmarkEnd w:id="131"/>
      <w:bookmarkEnd w:id="132"/>
      <w:bookmarkEnd w:id="133"/>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关于发包人应负责提供施工所需要的条件，包括：</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34" w:name="_Toc2686"/>
      <w:bookmarkStart w:id="135" w:name="_Toc2716"/>
      <w:bookmarkStart w:id="136" w:name="_Toc12988"/>
      <w:r>
        <w:rPr>
          <w:rFonts w:hint="eastAsia" w:ascii="宋体" w:hAnsi="宋体" w:eastAsia="宋体" w:cs="宋体"/>
          <w:color w:val="auto"/>
          <w:sz w:val="21"/>
          <w:szCs w:val="21"/>
          <w:highlight w:val="none"/>
        </w:rPr>
        <w:t>2.5 资金来源证明及支付担保</w:t>
      </w:r>
      <w:bookmarkEnd w:id="134"/>
      <w:bookmarkEnd w:id="135"/>
      <w:bookmarkEnd w:id="136"/>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不提供</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不提供</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发包人提供支付担保的形式：</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不提供</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 承包人</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承包人的一般义务</w:t>
      </w:r>
    </w:p>
    <w:p>
      <w:pPr>
        <w:pageBreakBefore w:val="0"/>
        <w:kinsoku/>
        <w:wordWrap/>
        <w:overflowPunct/>
        <w:topLinePunct w:val="0"/>
        <w:bidi w:val="0"/>
        <w:spacing w:line="24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r>
        <w:rPr>
          <w:rFonts w:hint="eastAsia" w:ascii="宋体" w:hAnsi="宋体" w:eastAsia="宋体" w:cs="宋体"/>
          <w:color w:val="auto"/>
          <w:sz w:val="21"/>
          <w:szCs w:val="21"/>
          <w:highlight w:val="none"/>
          <w:u w:val="single"/>
        </w:rPr>
        <w:t xml:space="preserve"> </w:t>
      </w:r>
      <w:r>
        <w:rPr>
          <w:rFonts w:hint="eastAsia" w:ascii="宋体" w:hAnsi="宋体" w:cs="宋体"/>
          <w:b/>
          <w:bCs/>
          <w:color w:val="auto"/>
          <w:szCs w:val="21"/>
          <w:highlight w:val="none"/>
          <w:u w:val="single"/>
        </w:rPr>
        <w:t>承包人提供全套竣工图，所有竣工图应为新图纸。</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w:t>
      </w:r>
      <w:r>
        <w:rPr>
          <w:rFonts w:hint="eastAsia" w:ascii="宋体" w:hAnsi="宋体" w:cs="宋体"/>
          <w:b/>
          <w:bCs/>
          <w:color w:val="auto"/>
          <w:szCs w:val="21"/>
          <w:highlight w:val="none"/>
          <w:u w:val="single"/>
        </w:rPr>
        <w:t>竣工图及资料各伍套并提供电子版一套（含竣工图</w:t>
      </w:r>
      <w:r>
        <w:rPr>
          <w:rFonts w:ascii="宋体" w:hAnsi="宋体" w:cs="宋体"/>
          <w:b/>
          <w:bCs/>
          <w:color w:val="auto"/>
          <w:szCs w:val="21"/>
          <w:highlight w:val="none"/>
          <w:u w:val="single"/>
        </w:rPr>
        <w:t>dwg</w:t>
      </w:r>
      <w:r>
        <w:rPr>
          <w:rFonts w:hint="eastAsia" w:ascii="宋体" w:hAnsi="宋体" w:cs="宋体"/>
          <w:b/>
          <w:bCs/>
          <w:color w:val="auto"/>
          <w:szCs w:val="21"/>
          <w:highlight w:val="none"/>
          <w:u w:val="single"/>
        </w:rPr>
        <w:t>电子文件）</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left="638" w:leftChars="3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由承包人承担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left="638" w:leftChars="3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竣工验收后15日内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整理装订成册并签章的书面文件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（10）承包人应履行的其他义务：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项目经理</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承包人对项目经理的授权范围如下：</w:t>
      </w:r>
      <w:r>
        <w:rPr>
          <w:rFonts w:hint="eastAsia" w:ascii="宋体" w:hAnsi="宋体" w:eastAsia="宋体" w:cs="宋体"/>
          <w:color w:val="auto"/>
          <w:szCs w:val="21"/>
          <w:highlight w:val="none"/>
          <w:u w:val="single"/>
        </w:rPr>
        <w:t>负责施工现场的项目管理工程</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Cs w:val="21"/>
          <w:highlight w:val="none"/>
          <w:u w:val="single"/>
        </w:rPr>
        <w:t>项目经理应常驻施工现场，且每月在施工现场时间不得少于26天。项目经理确需离开施工现场时，应事先通知监理人，并取得发包人的书面同意</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由承包人自行解决</w:t>
      </w:r>
      <w:r>
        <w:rPr>
          <w:rFonts w:hint="eastAsia" w:ascii="宋体" w:hAnsi="宋体" w:eastAsia="宋体" w:cs="宋体"/>
          <w:color w:val="auto"/>
          <w:sz w:val="21"/>
          <w:szCs w:val="21"/>
          <w:highlight w:val="none"/>
        </w:rPr>
        <w:t>。</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项目经理要常驻施工现场，离开现场的须经发包人同意，并书面指定临时代表，代为行使项目经理权利，该临时代表的一切行为均认为是项目经理的行为。未经发包人批准，擅自离开施工现场，一经发现，每次扣罚2000元，工程建设期间发生三次以上（不含三次），发包人有权终止合同、履约保证金不予退还。</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3.2.3承包人擅自更换项目经理的违约责任：</w:t>
      </w:r>
      <w:r>
        <w:rPr>
          <w:rFonts w:hint="eastAsia" w:ascii="宋体" w:hAnsi="宋体" w:eastAsia="宋体" w:cs="宋体"/>
          <w:color w:val="auto"/>
          <w:szCs w:val="21"/>
          <w:highlight w:val="none"/>
          <w:u w:val="single"/>
        </w:rPr>
        <w:t>须提前14天通知发包人和监理人，并征得发包人的书面同意，更换后的项目经理资历、水平不</w:t>
      </w:r>
      <w:r>
        <w:rPr>
          <w:rFonts w:hint="eastAsia" w:ascii="宋体" w:hAnsi="宋体" w:eastAsia="宋体" w:cs="宋体"/>
          <w:color w:val="auto"/>
          <w:szCs w:val="21"/>
          <w:highlight w:val="none"/>
          <w:u w:val="single"/>
          <w:lang w:eastAsia="zh-CN"/>
        </w:rPr>
        <w:t>得</w:t>
      </w:r>
      <w:r>
        <w:rPr>
          <w:rFonts w:hint="eastAsia" w:ascii="宋体" w:hAnsi="宋体" w:eastAsia="宋体" w:cs="宋体"/>
          <w:color w:val="auto"/>
          <w:szCs w:val="21"/>
          <w:highlight w:val="none"/>
          <w:u w:val="single"/>
        </w:rPr>
        <w:t>降低。擅自更换项目经理将对承包人处以5000~20000元违约金处罚。</w:t>
      </w:r>
    </w:p>
    <w:p>
      <w:pPr>
        <w:pageBreakBefore w:val="0"/>
        <w:kinsoku/>
        <w:wordWrap/>
        <w:overflowPunct/>
        <w:topLinePunct w:val="0"/>
        <w:bidi w:val="0"/>
        <w:spacing w:line="240" w:lineRule="auto"/>
        <w:outlineLvl w:val="0"/>
        <w:rPr>
          <w:rFonts w:hint="eastAsia" w:ascii="宋体" w:hAnsi="宋体" w:eastAsia="宋体" w:cs="宋体"/>
          <w:color w:val="auto"/>
          <w:sz w:val="21"/>
          <w:szCs w:val="21"/>
          <w:highlight w:val="none"/>
        </w:rPr>
      </w:pPr>
      <w:bookmarkStart w:id="137" w:name="_Toc9139"/>
      <w:r>
        <w:rPr>
          <w:rFonts w:hint="eastAsia" w:ascii="宋体" w:hAnsi="宋体" w:eastAsia="宋体" w:cs="宋体"/>
          <w:color w:val="auto"/>
          <w:szCs w:val="21"/>
          <w:highlight w:val="none"/>
        </w:rPr>
        <w:t>3.2.4承包人无正当理由拒绝更换项目经理的违约责任：</w:t>
      </w:r>
      <w:r>
        <w:rPr>
          <w:rFonts w:hint="eastAsia" w:ascii="宋体" w:hAnsi="宋体" w:eastAsia="宋体" w:cs="宋体"/>
          <w:color w:val="auto"/>
          <w:szCs w:val="21"/>
          <w:highlight w:val="none"/>
          <w:u w:val="single"/>
        </w:rPr>
        <w:t>将对承包人处以5000元~20000元违约金处罚。</w:t>
      </w:r>
      <w:bookmarkEnd w:id="137"/>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承包人人员</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承包人提交项目管理机构及施工现场管理人员安排报告的期限：</w:t>
      </w:r>
      <w:r>
        <w:rPr>
          <w:rFonts w:hint="eastAsia" w:ascii="宋体" w:hAnsi="宋体" w:eastAsia="宋体" w:cs="宋体"/>
          <w:color w:val="auto"/>
          <w:szCs w:val="21"/>
          <w:highlight w:val="none"/>
          <w:u w:val="single"/>
        </w:rPr>
        <w:t>施工合同签订后3日内</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Cs w:val="21"/>
          <w:highlight w:val="none"/>
          <w:u w:val="single"/>
        </w:rPr>
        <w:t>执行</w:t>
      </w:r>
      <w:r>
        <w:rPr>
          <w:rFonts w:hint="eastAsia" w:ascii="宋体" w:hAnsi="宋体" w:cs="宋体"/>
          <w:color w:val="auto"/>
          <w:szCs w:val="21"/>
          <w:highlight w:val="none"/>
          <w:u w:val="single"/>
          <w:lang w:eastAsia="zh-CN"/>
        </w:rPr>
        <w:t>竞争性谈判文件</w:t>
      </w:r>
      <w:r>
        <w:rPr>
          <w:rFonts w:hint="eastAsia" w:ascii="宋体" w:hAnsi="宋体" w:eastAsia="宋体" w:cs="宋体"/>
          <w:color w:val="auto"/>
          <w:szCs w:val="21"/>
          <w:highlight w:val="none"/>
          <w:u w:val="single"/>
        </w:rPr>
        <w:t>及通用条款</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Cs w:val="21"/>
          <w:highlight w:val="none"/>
          <w:u w:val="single"/>
        </w:rPr>
        <w:t>承包人主要施工管理人员应常驻现场，离开现场须经发包人或监理人同意，擅自离开的，一经发现，将按</w:t>
      </w:r>
      <w:r>
        <w:rPr>
          <w:rFonts w:hint="eastAsia" w:ascii="宋体" w:hAnsi="宋体" w:cs="宋体"/>
          <w:color w:val="auto"/>
          <w:szCs w:val="21"/>
          <w:highlight w:val="none"/>
          <w:u w:val="single"/>
          <w:lang w:eastAsia="zh-CN"/>
        </w:rPr>
        <w:t>竞争性谈判文件</w:t>
      </w:r>
      <w:r>
        <w:rPr>
          <w:rFonts w:hint="eastAsia" w:ascii="宋体" w:hAnsi="宋体" w:eastAsia="宋体" w:cs="宋体"/>
          <w:color w:val="auto"/>
          <w:szCs w:val="21"/>
          <w:highlight w:val="none"/>
          <w:u w:val="single"/>
        </w:rPr>
        <w:t>进行处罚</w:t>
      </w:r>
      <w:r>
        <w:rPr>
          <w:rFonts w:hint="eastAsia" w:ascii="宋体" w:hAnsi="宋体" w:eastAsia="宋体" w:cs="宋体"/>
          <w:color w:val="auto"/>
          <w:sz w:val="21"/>
          <w:szCs w:val="21"/>
          <w:highlight w:val="none"/>
        </w:rPr>
        <w:t>。</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3.3.5承包人擅自更换主要施工管理人员的违约责任：</w:t>
      </w:r>
      <w:r>
        <w:rPr>
          <w:rFonts w:hint="eastAsia" w:ascii="宋体" w:hAnsi="宋体" w:eastAsia="宋体" w:cs="宋体"/>
          <w:color w:val="auto"/>
          <w:szCs w:val="21"/>
          <w:highlight w:val="none"/>
          <w:u w:val="single"/>
        </w:rPr>
        <w:t>将对承包人处以警告处罚，情节严重处以2000元~50000元违约金处罚，直至解除合同。</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分包</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 分包的一般约定</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主体结构工程、关键性工作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Cs w:val="21"/>
          <w:highlight w:val="none"/>
          <w:u w:val="single"/>
        </w:rPr>
        <w:t>涉及承包人资质证书承包范围内的工程内容</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3.5.2分包的确定</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Cs w:val="21"/>
          <w:highlight w:val="none"/>
          <w:u w:val="single"/>
        </w:rPr>
        <w:t>涉及承包人资质证书承包范围外的工程内容</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工程照管与成品、半成品保护</w:t>
      </w:r>
    </w:p>
    <w:p>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履约担保</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承包人是否提供履约担保：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提供</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承包人提供履约担保的形式、金额及期限的：</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kern w:val="0"/>
          <w:szCs w:val="21"/>
          <w:highlight w:val="none"/>
          <w:u w:val="single"/>
        </w:rPr>
        <w:t>承包人按</w:t>
      </w:r>
      <w:r>
        <w:rPr>
          <w:rFonts w:hint="eastAsia" w:ascii="宋体" w:hAnsi="宋体" w:cs="宋体"/>
          <w:bCs/>
          <w:color w:val="auto"/>
          <w:kern w:val="0"/>
          <w:szCs w:val="21"/>
          <w:highlight w:val="none"/>
          <w:u w:val="single"/>
          <w:lang w:val="en-US" w:eastAsia="zh-CN"/>
        </w:rPr>
        <w:t>竞争性谈判文件</w:t>
      </w:r>
      <w:r>
        <w:rPr>
          <w:rFonts w:hint="eastAsia" w:ascii="宋体" w:hAnsi="宋体" w:eastAsia="宋体" w:cs="宋体"/>
          <w:bCs/>
          <w:color w:val="auto"/>
          <w:kern w:val="0"/>
          <w:szCs w:val="21"/>
          <w:highlight w:val="none"/>
          <w:u w:val="single"/>
          <w:lang w:eastAsia="zh-CN"/>
        </w:rPr>
        <w:t>约定</w:t>
      </w:r>
      <w:r>
        <w:rPr>
          <w:rFonts w:hint="eastAsia" w:ascii="宋体" w:hAnsi="宋体" w:eastAsia="宋体" w:cs="宋体"/>
          <w:bCs/>
          <w:color w:val="auto"/>
          <w:kern w:val="0"/>
          <w:szCs w:val="21"/>
          <w:highlight w:val="none"/>
          <w:u w:val="single"/>
        </w:rPr>
        <w:t>向发包人提交履约担保</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 监理人</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4.1监理人的一般规定</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详见监理合同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除设计变更、费用调整、工期延长及其他法律、法规和政策性规定须由发包人批准才能行使职权的事项外，其它执行</w:t>
      </w:r>
      <w:r>
        <w:rPr>
          <w:rFonts w:hint="eastAsia" w:ascii="宋体" w:hAnsi="宋体" w:cs="宋体"/>
          <w:color w:val="auto"/>
          <w:szCs w:val="21"/>
          <w:highlight w:val="none"/>
          <w:u w:val="single"/>
          <w:lang w:eastAsia="zh-CN"/>
        </w:rPr>
        <w:t>竞争性谈判文件</w:t>
      </w:r>
      <w:r>
        <w:rPr>
          <w:rFonts w:hint="eastAsia" w:ascii="宋体" w:hAnsi="宋体" w:eastAsia="宋体" w:cs="宋体"/>
          <w:color w:val="auto"/>
          <w:szCs w:val="21"/>
          <w:highlight w:val="none"/>
          <w:u w:val="single"/>
        </w:rPr>
        <w:t>及通用条款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承包人为监理人提供办公场所一间</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监理人员</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商定或确定</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在发包人和承包人不能通过协商达成一致意见时，发包人授权监理人对以下事项进行确定：</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 工程质量</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38" w:name="_Toc1232"/>
      <w:bookmarkStart w:id="139" w:name="_Toc12030"/>
      <w:bookmarkStart w:id="140" w:name="_Toc18987"/>
      <w:r>
        <w:rPr>
          <w:rFonts w:hint="eastAsia" w:ascii="宋体" w:hAnsi="宋体" w:eastAsia="宋体" w:cs="宋体"/>
          <w:color w:val="auto"/>
          <w:sz w:val="21"/>
          <w:szCs w:val="21"/>
          <w:highlight w:val="none"/>
        </w:rPr>
        <w:t>5.1 质量要求</w:t>
      </w:r>
      <w:bookmarkEnd w:id="138"/>
      <w:bookmarkEnd w:id="139"/>
      <w:bookmarkEnd w:id="140"/>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合格标准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41" w:name="_Toc15686"/>
      <w:bookmarkStart w:id="142" w:name="_Toc4426"/>
      <w:bookmarkStart w:id="143" w:name="_Toc10364"/>
      <w:r>
        <w:rPr>
          <w:rFonts w:hint="eastAsia" w:ascii="宋体" w:hAnsi="宋体" w:eastAsia="宋体" w:cs="宋体"/>
          <w:color w:val="auto"/>
          <w:sz w:val="21"/>
          <w:szCs w:val="21"/>
          <w:highlight w:val="none"/>
        </w:rPr>
        <w:t>5.3 隐蔽工程检查</w:t>
      </w:r>
      <w:bookmarkEnd w:id="141"/>
      <w:bookmarkEnd w:id="142"/>
      <w:bookmarkEnd w:id="143"/>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5.3.2承包人提前通知监理人隐蔽工程检查的期限的约定：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执行通用条款</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48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 安全文明施工与环境保护</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6.1安全文明施工</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执行国家、省、市有关规定，确保文明施工</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关于安全文明施工费支付比例和支付期限的约定：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与工程进度款同期支付</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 工期和进度</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施工组织设计</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7.1.1 合</w:t>
      </w:r>
      <w:r>
        <w:rPr>
          <w:rFonts w:hint="eastAsia" w:ascii="宋体" w:hAnsi="宋体" w:eastAsia="宋体" w:cs="宋体"/>
          <w:color w:val="auto"/>
          <w:kern w:val="0"/>
          <w:sz w:val="21"/>
          <w:szCs w:val="21"/>
          <w:highlight w:val="none"/>
        </w:rPr>
        <w:t>同当事人约定的施工组织设计应包括的其他内容：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执行通用条款</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承包人提交详细施工组织设计的期限的约定：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施工进度计划</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开工</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关于承包人提交</w:t>
      </w:r>
      <w:r>
        <w:rPr>
          <w:rFonts w:hint="eastAsia" w:ascii="宋体" w:hAnsi="宋体" w:eastAsia="宋体" w:cs="宋体"/>
          <w:color w:val="auto"/>
          <w:kern w:val="0"/>
          <w:sz w:val="21"/>
          <w:szCs w:val="21"/>
          <w:highlight w:val="none"/>
        </w:rPr>
        <w:t>工程开工报审表的期限：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7.3.2开工通知</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发包人应按照法律规定获得工程施工所需的许可。经发包人同意后，监理人发出的开工通知应符合法律规定。监理人应在计划开工日期7天前向承包人发出开工通知，工期以开工通知中的开工日期起算</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测量放线</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7.4.1发包人通过监理人向承包人提供测量基准点、基准线和水准点及其书面资料的期限：</w:t>
      </w:r>
      <w:r>
        <w:rPr>
          <w:rFonts w:hint="eastAsia" w:ascii="宋体" w:hAnsi="宋体" w:eastAsia="宋体" w:cs="宋体"/>
          <w:color w:val="auto"/>
          <w:szCs w:val="21"/>
          <w:highlight w:val="none"/>
          <w:u w:val="single"/>
        </w:rPr>
        <w:t>7日内</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工期延误</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（7）因发包人原因导致工期延误的其他情形：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7.5.2 因承包人原因导致工期延误</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因承包人原因造成工期延误，逾期竣工违约金的计算方法为：</w:t>
      </w:r>
      <w:r>
        <w:rPr>
          <w:rFonts w:hint="eastAsia" w:ascii="宋体" w:hAnsi="宋体" w:eastAsia="宋体" w:cs="宋体"/>
          <w:color w:val="auto"/>
          <w:szCs w:val="21"/>
          <w:highlight w:val="none"/>
          <w:u w:val="single"/>
        </w:rPr>
        <w:t>每延期竣工一天，承包人支付发包人合同价款的万分之三的违约金；违约金最高限额为合同价款的6%。延期竣工</w:t>
      </w:r>
      <w:r>
        <w:rPr>
          <w:rFonts w:hint="eastAsia" w:ascii="宋体" w:hAnsi="宋体" w:cs="宋体"/>
          <w:color w:val="auto"/>
          <w:szCs w:val="21"/>
          <w:highlight w:val="none"/>
          <w:u w:val="single"/>
          <w:lang w:val="en-US" w:eastAsia="zh-CN"/>
        </w:rPr>
        <w:t>1周</w:t>
      </w:r>
      <w:r>
        <w:rPr>
          <w:rFonts w:hint="eastAsia" w:ascii="宋体" w:hAnsi="宋体" w:eastAsia="宋体" w:cs="宋体"/>
          <w:color w:val="auto"/>
          <w:szCs w:val="21"/>
          <w:highlight w:val="none"/>
          <w:u w:val="single"/>
        </w:rPr>
        <w:t>上的，发包人有权解除合同并追究连带损失</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w:t>
      </w:r>
      <w:bookmarkStart w:id="144" w:name="_Toc312678014"/>
      <w:bookmarkStart w:id="145" w:name="_Toc318581171"/>
      <w:r>
        <w:rPr>
          <w:rFonts w:hint="eastAsia" w:ascii="宋体" w:hAnsi="宋体" w:eastAsia="宋体" w:cs="宋体"/>
          <w:color w:val="auto"/>
          <w:sz w:val="21"/>
          <w:szCs w:val="21"/>
          <w:highlight w:val="none"/>
        </w:rPr>
        <w:t>期竣工违约金的上限：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144"/>
    <w:bookmarkEnd w:id="145"/>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 不利物质条件</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7.7异常恶劣的气候条件</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（1）战争、动乱、空中飞行物体坠落或其他非发包人承包人责任造成的爆炸、火灾；</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（2）四级以上地震，连续四日日降雨量100mm以上的天气及其他天灾；</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（3）其它执行通用合同条款。</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46" w:name="_Toc22791"/>
      <w:bookmarkStart w:id="147" w:name="_Toc803"/>
      <w:bookmarkStart w:id="148" w:name="_Toc25487"/>
      <w:r>
        <w:rPr>
          <w:rFonts w:hint="eastAsia" w:ascii="宋体" w:hAnsi="宋体" w:eastAsia="宋体" w:cs="宋体"/>
          <w:color w:val="auto"/>
          <w:sz w:val="21"/>
          <w:szCs w:val="21"/>
          <w:highlight w:val="none"/>
        </w:rPr>
        <w:t>7.9 提前竣工的奖励</w:t>
      </w:r>
      <w:bookmarkEnd w:id="146"/>
      <w:bookmarkEnd w:id="147"/>
      <w:bookmarkEnd w:id="148"/>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7.9.2提前竣工的奖励：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 材料与设备</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8.4材料与工程设备的保管与使用</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8.4.1发包人供应的材料设备的保管费用的承担：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49" w:name="_Toc3767"/>
      <w:bookmarkStart w:id="150" w:name="_Toc652"/>
      <w:bookmarkStart w:id="151" w:name="_Toc3274"/>
      <w:r>
        <w:rPr>
          <w:rFonts w:hint="eastAsia" w:ascii="宋体" w:hAnsi="宋体" w:eastAsia="宋体" w:cs="宋体"/>
          <w:color w:val="auto"/>
          <w:sz w:val="21"/>
          <w:szCs w:val="21"/>
          <w:highlight w:val="none"/>
        </w:rPr>
        <w:t>8.6 样品</w:t>
      </w:r>
      <w:bookmarkEnd w:id="149"/>
      <w:bookmarkEnd w:id="150"/>
      <w:bookmarkEnd w:id="151"/>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8.6.1样品的报送与封存</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52" w:name="_Toc26592"/>
      <w:bookmarkStart w:id="153" w:name="_Toc6426"/>
      <w:bookmarkStart w:id="154" w:name="_Toc7369"/>
      <w:r>
        <w:rPr>
          <w:rFonts w:hint="eastAsia" w:ascii="宋体" w:hAnsi="宋体" w:eastAsia="宋体" w:cs="宋体"/>
          <w:color w:val="auto"/>
          <w:sz w:val="21"/>
          <w:szCs w:val="21"/>
          <w:highlight w:val="none"/>
        </w:rPr>
        <w:t>8.8 施工设备和临时设施</w:t>
      </w:r>
      <w:bookmarkEnd w:id="152"/>
      <w:bookmarkEnd w:id="153"/>
      <w:bookmarkEnd w:id="154"/>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关于修建临时设施费用承担的约定：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 试验与检验</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9.1试验设备与试验人员</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9.1.2 试验设备</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Cs w:val="21"/>
          <w:highlight w:val="none"/>
        </w:rPr>
        <w:t>施工现场需要配置的试验场所：</w:t>
      </w:r>
      <w:r>
        <w:rPr>
          <w:rFonts w:hint="eastAsia" w:ascii="宋体" w:hAnsi="宋体" w:eastAsia="宋体" w:cs="宋体"/>
          <w:color w:val="auto"/>
          <w:szCs w:val="21"/>
          <w:highlight w:val="none"/>
          <w:u w:val="single"/>
        </w:rPr>
        <w:t>承包人自行解决，费用自理。</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Cs w:val="21"/>
          <w:highlight w:val="none"/>
        </w:rPr>
        <w:t>施工现场需要配备的试验设备：</w:t>
      </w:r>
      <w:r>
        <w:rPr>
          <w:rFonts w:hint="eastAsia" w:ascii="宋体" w:hAnsi="宋体" w:eastAsia="宋体" w:cs="宋体"/>
          <w:color w:val="auto"/>
          <w:szCs w:val="21"/>
          <w:highlight w:val="none"/>
          <w:u w:val="single"/>
        </w:rPr>
        <w:t>承包人自行解决，费用自理。</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Cs w:val="21"/>
          <w:highlight w:val="none"/>
          <w:u w:val="single"/>
        </w:rPr>
      </w:pPr>
      <w:bookmarkStart w:id="155" w:name="_Toc1869"/>
      <w:bookmarkStart w:id="156" w:name="_Toc9705"/>
      <w:bookmarkStart w:id="157" w:name="_Toc5600"/>
      <w:r>
        <w:rPr>
          <w:rFonts w:hint="eastAsia" w:ascii="宋体" w:hAnsi="宋体" w:eastAsia="宋体" w:cs="宋体"/>
          <w:color w:val="auto"/>
          <w:szCs w:val="21"/>
          <w:highlight w:val="none"/>
        </w:rPr>
        <w:t>施工现场需要具备的其他试验条件：</w:t>
      </w:r>
      <w:r>
        <w:rPr>
          <w:rFonts w:hint="eastAsia" w:ascii="宋体" w:hAnsi="宋体" w:eastAsia="宋体" w:cs="宋体"/>
          <w:color w:val="auto"/>
          <w:szCs w:val="21"/>
          <w:highlight w:val="none"/>
          <w:u w:val="single"/>
        </w:rPr>
        <w:t>承包人自行解决，费用自理。</w:t>
      </w:r>
      <w:bookmarkEnd w:id="155"/>
      <w:bookmarkEnd w:id="156"/>
      <w:bookmarkEnd w:id="157"/>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58" w:name="_Toc6064"/>
      <w:bookmarkStart w:id="159" w:name="_Toc2789"/>
      <w:bookmarkStart w:id="160" w:name="_Toc9596"/>
      <w:r>
        <w:rPr>
          <w:rFonts w:hint="eastAsia" w:ascii="宋体" w:hAnsi="宋体" w:eastAsia="宋体" w:cs="宋体"/>
          <w:color w:val="auto"/>
          <w:sz w:val="21"/>
          <w:szCs w:val="21"/>
          <w:highlight w:val="none"/>
        </w:rPr>
        <w:t>9.4 现场工艺试验</w:t>
      </w:r>
      <w:bookmarkEnd w:id="158"/>
      <w:bookmarkEnd w:id="159"/>
      <w:bookmarkEnd w:id="160"/>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 变更</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10.1变更的范围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w:t>
      </w:r>
      <w:r>
        <w:rPr>
          <w:rFonts w:hint="eastAsia" w:ascii="宋体" w:hAnsi="宋体" w:cs="宋体"/>
          <w:color w:val="auto"/>
          <w:szCs w:val="21"/>
          <w:highlight w:val="none"/>
          <w:u w:val="single"/>
          <w:lang w:eastAsia="zh-CN"/>
        </w:rPr>
        <w:t>竞争性谈判文件</w:t>
      </w:r>
      <w:r>
        <w:rPr>
          <w:rFonts w:hint="eastAsia" w:ascii="宋体" w:hAnsi="宋体" w:eastAsia="宋体" w:cs="宋体"/>
          <w:color w:val="auto"/>
          <w:szCs w:val="21"/>
          <w:highlight w:val="none"/>
          <w:u w:val="single"/>
        </w:rPr>
        <w:t>及通用条款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61" w:name="_Toc27754"/>
      <w:bookmarkStart w:id="162" w:name="_Toc27145"/>
      <w:bookmarkStart w:id="163" w:name="_Toc7399"/>
      <w:r>
        <w:rPr>
          <w:rFonts w:hint="eastAsia" w:ascii="宋体" w:hAnsi="宋体" w:eastAsia="宋体" w:cs="宋体"/>
          <w:color w:val="auto"/>
          <w:sz w:val="21"/>
          <w:szCs w:val="21"/>
          <w:highlight w:val="none"/>
        </w:rPr>
        <w:t>10.4 变更估价</w:t>
      </w:r>
      <w:bookmarkEnd w:id="161"/>
      <w:bookmarkEnd w:id="162"/>
      <w:bookmarkEnd w:id="163"/>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关于变更估价的约定: </w:t>
      </w:r>
      <w:r>
        <w:rPr>
          <w:rFonts w:hint="eastAsia" w:ascii="宋体" w:hAnsi="宋体" w:eastAsia="宋体" w:cs="宋体"/>
          <w:color w:val="auto"/>
          <w:sz w:val="21"/>
          <w:szCs w:val="21"/>
          <w:highlight w:val="none"/>
          <w:u w:val="single"/>
        </w:rPr>
        <w:t xml:space="preserve"> （1）合同价中已有适用的综合单价，按</w:t>
      </w:r>
      <w:r>
        <w:rPr>
          <w:rFonts w:hint="eastAsia" w:ascii="宋体" w:hAnsi="宋体" w:cs="宋体"/>
          <w:color w:val="auto"/>
          <w:sz w:val="21"/>
          <w:szCs w:val="21"/>
          <w:highlight w:val="none"/>
          <w:u w:val="single"/>
          <w:lang w:eastAsia="zh-CN"/>
        </w:rPr>
        <w:t>最高谈判限价</w:t>
      </w:r>
      <w:r>
        <w:rPr>
          <w:rFonts w:hint="eastAsia" w:ascii="宋体" w:hAnsi="宋体" w:eastAsia="宋体" w:cs="宋体"/>
          <w:color w:val="auto"/>
          <w:sz w:val="21"/>
          <w:szCs w:val="21"/>
          <w:highlight w:val="none"/>
          <w:u w:val="single"/>
        </w:rPr>
        <w:t>中的子目综合单价结合下浮率计算结算价款；（2）合同价中有类似的综合单价，参照</w:t>
      </w:r>
      <w:r>
        <w:rPr>
          <w:rFonts w:hint="eastAsia" w:ascii="宋体" w:hAnsi="宋体" w:cs="宋体"/>
          <w:color w:val="auto"/>
          <w:sz w:val="21"/>
          <w:szCs w:val="21"/>
          <w:highlight w:val="none"/>
          <w:u w:val="single"/>
          <w:lang w:eastAsia="zh-CN"/>
        </w:rPr>
        <w:t>最高谈判限价</w:t>
      </w:r>
      <w:r>
        <w:rPr>
          <w:rFonts w:hint="eastAsia" w:ascii="宋体" w:hAnsi="宋体" w:eastAsia="宋体" w:cs="宋体"/>
          <w:color w:val="auto"/>
          <w:sz w:val="21"/>
          <w:szCs w:val="21"/>
          <w:highlight w:val="none"/>
          <w:u w:val="single"/>
        </w:rPr>
        <w:t>中的子目综合单价结合下浮率计算结算价款；（3）合同价中没有适用或类似的综合单价，由承包人根据</w:t>
      </w:r>
      <w:r>
        <w:rPr>
          <w:rFonts w:hint="eastAsia" w:ascii="宋体" w:hAnsi="宋体" w:cs="宋体"/>
          <w:color w:val="auto"/>
          <w:sz w:val="21"/>
          <w:szCs w:val="21"/>
          <w:highlight w:val="none"/>
          <w:u w:val="single"/>
          <w:lang w:eastAsia="zh-CN"/>
        </w:rPr>
        <w:t>最高谈判限价</w:t>
      </w:r>
      <w:r>
        <w:rPr>
          <w:rFonts w:hint="eastAsia" w:ascii="宋体" w:hAnsi="宋体" w:eastAsia="宋体" w:cs="宋体"/>
          <w:color w:val="auto"/>
          <w:sz w:val="21"/>
          <w:szCs w:val="21"/>
          <w:highlight w:val="none"/>
          <w:u w:val="single"/>
        </w:rPr>
        <w:t>编制依据中的计价原则规定提出适当的综合单价，经发包人或其委托的工程造价咨询单位审定后作为结算依据，</w:t>
      </w:r>
      <w:r>
        <w:rPr>
          <w:rFonts w:hint="eastAsia" w:ascii="宋体" w:hAnsi="宋体" w:eastAsia="宋体" w:cs="宋体"/>
          <w:color w:val="auto"/>
          <w:szCs w:val="21"/>
          <w:highlight w:val="none"/>
          <w:u w:val="single"/>
        </w:rPr>
        <w:t>该综合单价需乘以（1-下浮率）作为实际结算综合单价予以结算，最终结算价以</w:t>
      </w:r>
      <w:r>
        <w:rPr>
          <w:rFonts w:hint="eastAsia" w:ascii="宋体" w:hAnsi="宋体" w:eastAsia="宋体" w:cs="宋体"/>
          <w:color w:val="auto"/>
          <w:sz w:val="21"/>
          <w:szCs w:val="21"/>
          <w:highlight w:val="none"/>
          <w:u w:val="single"/>
        </w:rPr>
        <w:t>发包人或其委托的</w:t>
      </w:r>
      <w:r>
        <w:rPr>
          <w:rFonts w:hint="eastAsia" w:ascii="宋体" w:hAnsi="宋体" w:eastAsia="宋体" w:cs="宋体"/>
          <w:color w:val="auto"/>
          <w:sz w:val="21"/>
          <w:szCs w:val="21"/>
          <w:highlight w:val="none"/>
          <w:u w:val="single"/>
          <w:lang w:eastAsia="zh-CN"/>
        </w:rPr>
        <w:t>其他机构</w:t>
      </w:r>
      <w:r>
        <w:rPr>
          <w:rFonts w:hint="eastAsia" w:ascii="宋体" w:hAnsi="宋体" w:eastAsia="宋体" w:cs="宋体"/>
          <w:color w:val="auto"/>
          <w:szCs w:val="21"/>
          <w:highlight w:val="none"/>
          <w:u w:val="single"/>
        </w:rPr>
        <w:t>审定价为准。其中下浮率=[1-（</w:t>
      </w:r>
      <w:r>
        <w:rPr>
          <w:rFonts w:hint="eastAsia" w:ascii="宋体" w:hAnsi="宋体" w:cs="宋体"/>
          <w:color w:val="auto"/>
          <w:szCs w:val="21"/>
          <w:highlight w:val="none"/>
          <w:u w:val="single"/>
          <w:lang w:eastAsia="zh-CN"/>
        </w:rPr>
        <w:t>成交</w:t>
      </w:r>
      <w:r>
        <w:rPr>
          <w:rFonts w:hint="eastAsia" w:ascii="宋体" w:hAnsi="宋体" w:eastAsia="宋体" w:cs="宋体"/>
          <w:color w:val="auto"/>
          <w:szCs w:val="21"/>
          <w:highlight w:val="none"/>
          <w:u w:val="single"/>
        </w:rPr>
        <w:t>人的</w:t>
      </w:r>
      <w:r>
        <w:rPr>
          <w:rFonts w:hint="eastAsia" w:ascii="宋体" w:hAnsi="宋体" w:cs="宋体"/>
          <w:color w:val="auto"/>
          <w:szCs w:val="21"/>
          <w:highlight w:val="none"/>
          <w:u w:val="single"/>
          <w:lang w:eastAsia="zh-CN"/>
        </w:rPr>
        <w:t>成交</w:t>
      </w:r>
      <w:r>
        <w:rPr>
          <w:rFonts w:hint="eastAsia" w:ascii="宋体" w:hAnsi="宋体" w:eastAsia="宋体" w:cs="宋体"/>
          <w:color w:val="auto"/>
          <w:szCs w:val="21"/>
          <w:highlight w:val="none"/>
          <w:u w:val="single"/>
        </w:rPr>
        <w:t>价-</w:t>
      </w:r>
      <w:r>
        <w:rPr>
          <w:rFonts w:hint="eastAsia" w:ascii="宋体" w:hAnsi="宋体" w:eastAsia="宋体" w:cs="宋体"/>
          <w:color w:val="auto"/>
          <w:szCs w:val="21"/>
          <w:highlight w:val="none"/>
          <w:u w:val="single"/>
          <w:lang w:eastAsia="zh-CN"/>
        </w:rPr>
        <w:t>暂列金额</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暂估价</w:t>
      </w:r>
      <w:r>
        <w:rPr>
          <w:rFonts w:hint="eastAsia" w:ascii="宋体" w:hAnsi="宋体" w:eastAsia="宋体" w:cs="宋体"/>
          <w:color w:val="auto"/>
          <w:szCs w:val="21"/>
          <w:highlight w:val="none"/>
          <w:u w:val="single"/>
        </w:rPr>
        <w:t>）/（</w:t>
      </w:r>
      <w:r>
        <w:rPr>
          <w:rFonts w:hint="eastAsia" w:ascii="宋体" w:hAnsi="宋体" w:cs="宋体"/>
          <w:color w:val="auto"/>
          <w:sz w:val="21"/>
          <w:szCs w:val="21"/>
          <w:highlight w:val="none"/>
          <w:u w:val="single"/>
          <w:lang w:eastAsia="zh-CN"/>
        </w:rPr>
        <w:t>最高谈判限价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暂列金额</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暂估价</w:t>
      </w:r>
      <w:r>
        <w:rPr>
          <w:rFonts w:hint="eastAsia" w:ascii="宋体" w:hAnsi="宋体" w:eastAsia="宋体" w:cs="宋体"/>
          <w:color w:val="auto"/>
          <w:szCs w:val="21"/>
          <w:highlight w:val="none"/>
          <w:u w:val="single"/>
        </w:rPr>
        <w:t>）]×100%。</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10.5承包人的合理化建议</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承包人提出的合理化建议降低了合同价格或者提高了工程经济效益的奖励的方法和金额为：</w:t>
      </w:r>
      <w:r>
        <w:rPr>
          <w:rFonts w:hint="eastAsia" w:ascii="宋体" w:hAnsi="宋体" w:eastAsia="宋体" w:cs="宋体"/>
          <w:color w:val="auto"/>
          <w:szCs w:val="21"/>
          <w:highlight w:val="none"/>
          <w:u w:val="singl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64" w:name="_Toc8978"/>
      <w:bookmarkStart w:id="165" w:name="_Toc29382"/>
      <w:bookmarkStart w:id="166" w:name="_Toc8658"/>
      <w:r>
        <w:rPr>
          <w:rFonts w:hint="eastAsia" w:ascii="宋体" w:hAnsi="宋体" w:eastAsia="宋体" w:cs="宋体"/>
          <w:color w:val="auto"/>
          <w:sz w:val="21"/>
          <w:szCs w:val="21"/>
          <w:highlight w:val="none"/>
        </w:rPr>
        <w:t>10.7 暂估价</w:t>
      </w:r>
      <w:bookmarkEnd w:id="164"/>
      <w:bookmarkEnd w:id="165"/>
      <w:bookmarkEnd w:id="166"/>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暂估价材料和工程设备的明细详见附件11：《</w:t>
      </w:r>
      <w:r>
        <w:rPr>
          <w:rFonts w:hint="eastAsia" w:ascii="宋体" w:hAnsi="宋体" w:eastAsia="宋体" w:cs="宋体"/>
          <w:color w:val="auto"/>
          <w:sz w:val="21"/>
          <w:szCs w:val="21"/>
          <w:highlight w:val="none"/>
        </w:rPr>
        <w:t>暂估价一览表》</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10.7.1 依法必须招标的暂估价项目</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对于依法必须招标的暂估价项目的确认和批准采取第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种方式确定。</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w:t>
      </w:r>
      <w:r>
        <w:rPr>
          <w:rFonts w:hint="eastAsia" w:ascii="宋体" w:hAnsi="宋体" w:cs="宋体"/>
          <w:color w:val="auto"/>
          <w:szCs w:val="21"/>
          <w:highlight w:val="none"/>
          <w:lang w:val="en-US" w:eastAsia="zh-CN"/>
        </w:rPr>
        <w:t>成交</w:t>
      </w:r>
      <w:r>
        <w:rPr>
          <w:rFonts w:hint="eastAsia" w:ascii="宋体" w:hAnsi="宋体" w:eastAsia="宋体" w:cs="宋体"/>
          <w:color w:val="auto"/>
          <w:szCs w:val="21"/>
          <w:highlight w:val="none"/>
          <w:lang w:val="en-US" w:eastAsia="zh-CN"/>
        </w:rPr>
        <w:t>人后，由发包人、承包人与</w:t>
      </w:r>
      <w:r>
        <w:rPr>
          <w:rFonts w:hint="eastAsia" w:ascii="宋体" w:hAnsi="宋体" w:cs="宋体"/>
          <w:color w:val="auto"/>
          <w:szCs w:val="21"/>
          <w:highlight w:val="none"/>
          <w:lang w:val="en-US" w:eastAsia="zh-CN"/>
        </w:rPr>
        <w:t>成交</w:t>
      </w:r>
      <w:r>
        <w:rPr>
          <w:rFonts w:hint="eastAsia" w:ascii="宋体" w:hAnsi="宋体" w:eastAsia="宋体" w:cs="宋体"/>
          <w:color w:val="auto"/>
          <w:szCs w:val="21"/>
          <w:highlight w:val="none"/>
          <w:lang w:val="en-US" w:eastAsia="zh-CN"/>
        </w:rPr>
        <w:t>人共同签订暂估价合同。</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对于不属于依法必须招标的暂估价项目的确认和批准采取第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种方式确定。</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 暂列金额</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 价格调整</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市场价格波动引起的调整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w:t>
      </w:r>
      <w:r>
        <w:rPr>
          <w:rFonts w:hint="eastAsia" w:ascii="宋体" w:hAnsi="宋体" w:cs="宋体"/>
          <w:color w:val="auto"/>
          <w:sz w:val="21"/>
          <w:szCs w:val="21"/>
          <w:highlight w:val="none"/>
          <w:u w:val="single"/>
          <w:lang w:eastAsia="zh-CN"/>
        </w:rPr>
        <w:t>竞争性谈判文件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因市场价格波动调整合同价格，采用以下第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种方式对合同价格进行调整：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第1种方式：采用价格指数进行价格调整。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关于各可调因子、定值和变值权重，以及基本价格指数及其来源的约定：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第2种方式：采用造价信息进行价格调整。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（2）关于基准价格的约定：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rPr>
        <w:t>%时，或材料单价跌幅以已标价工程量清单或预算书中载明材料单价为基础超过</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rPr>
        <w:t>%时，其超过部分据实调整。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rPr>
        <w:t>%时，材料单价涨幅以已标价工程量清单或预算书中载明材料单价为基础超过</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rPr>
        <w:t>%时，其超过部分据实调整。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rPr>
        <w:t>%时，其超过部分据实调整。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第3种方式：其他价格调整方式：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 合同价格、计量与支付</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12.1 合同价格形式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采用固定总价合同</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人工市场价、材料费及机械费的市场价格变化；除政策性调整、不可抗力以外的其他风险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lang w:eastAsia="zh-CN"/>
        </w:rPr>
        <w:t>谈判响应人</w:t>
      </w:r>
      <w:r>
        <w:rPr>
          <w:rFonts w:hint="eastAsia" w:ascii="宋体" w:hAnsi="宋体" w:eastAsia="宋体" w:cs="宋体"/>
          <w:color w:val="auto"/>
          <w:szCs w:val="21"/>
          <w:highlight w:val="none"/>
          <w:u w:val="single"/>
        </w:rPr>
        <w:t>在</w:t>
      </w:r>
      <w:r>
        <w:rPr>
          <w:rFonts w:hint="eastAsia" w:ascii="宋体" w:hAnsi="宋体" w:cs="宋体"/>
          <w:color w:val="auto"/>
          <w:szCs w:val="21"/>
          <w:highlight w:val="none"/>
          <w:u w:val="single"/>
          <w:lang w:eastAsia="zh-CN"/>
        </w:rPr>
        <w:t>谈判报价</w:t>
      </w:r>
      <w:r>
        <w:rPr>
          <w:rFonts w:hint="eastAsia" w:ascii="宋体" w:hAnsi="宋体" w:eastAsia="宋体" w:cs="宋体"/>
          <w:color w:val="auto"/>
          <w:szCs w:val="21"/>
          <w:highlight w:val="none"/>
          <w:u w:val="single"/>
        </w:rPr>
        <w:t>时已经考虑，不再另行计取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预付款</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 预付款的支付</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预付合同金额的70%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 xml:space="preserve"> 合同签订及</w:t>
      </w:r>
      <w:r>
        <w:rPr>
          <w:rFonts w:hint="eastAsia" w:ascii="宋体" w:hAnsi="宋体" w:eastAsia="宋体" w:cs="宋体"/>
          <w:color w:val="auto"/>
          <w:sz w:val="21"/>
          <w:szCs w:val="21"/>
          <w:highlight w:val="none"/>
          <w:u w:val="single"/>
          <w:lang w:val="en-US" w:eastAsia="zh-CN"/>
        </w:rPr>
        <w:t>中标人</w:t>
      </w:r>
      <w:r>
        <w:rPr>
          <w:rFonts w:hint="eastAsia" w:ascii="宋体" w:hAnsi="宋体" w:eastAsia="宋体" w:cs="宋体"/>
          <w:color w:val="auto"/>
          <w:sz w:val="21"/>
          <w:szCs w:val="21"/>
          <w:highlight w:val="none"/>
          <w:u w:val="single"/>
        </w:rPr>
        <w:t>提供预付款担保后支付</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lang w:val="en-US" w:eastAsia="zh-CN"/>
        </w:rPr>
        <w:t>在竣工结算审核完成，承包人提交工程竣工结算审计定案金额的3%作为质量保证金后，一次性付清工程款的同时一次性扣除</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rPr>
        <w:t xml:space="preserve">    发包人支付预付款7天前提供预付款担保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w:t>
      </w:r>
      <w:r>
        <w:rPr>
          <w:rFonts w:hint="eastAsia" w:ascii="宋体" w:hAnsi="宋体" w:eastAsia="宋体" w:cs="宋体"/>
          <w:color w:val="auto"/>
          <w:sz w:val="21"/>
          <w:szCs w:val="21"/>
          <w:highlight w:val="none"/>
          <w:u w:val="single"/>
        </w:rPr>
        <w:t xml:space="preserve">   银行保函、</w:t>
      </w:r>
      <w:r>
        <w:rPr>
          <w:rFonts w:hint="eastAsia" w:ascii="宋体" w:hAnsi="宋体" w:cs="宋体"/>
          <w:color w:val="auto"/>
          <w:sz w:val="21"/>
          <w:szCs w:val="21"/>
          <w:highlight w:val="none"/>
          <w:u w:val="single"/>
          <w:lang w:val="en-US" w:eastAsia="zh-CN"/>
        </w:rPr>
        <w:t>担保</w:t>
      </w:r>
      <w:r>
        <w:rPr>
          <w:rFonts w:hint="eastAsia" w:ascii="宋体" w:hAnsi="宋体" w:eastAsia="宋体" w:cs="宋体"/>
          <w:color w:val="auto"/>
          <w:sz w:val="21"/>
          <w:szCs w:val="21"/>
          <w:highlight w:val="none"/>
          <w:u w:val="single"/>
        </w:rPr>
        <w:t>保函、保证保险</w:t>
      </w:r>
      <w:r>
        <w:rPr>
          <w:rFonts w:hint="eastAsia" w:ascii="宋体" w:hAnsi="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计量</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 计量原则</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工程量计算规则：</w:t>
      </w:r>
      <w:r>
        <w:rPr>
          <w:rFonts w:hint="eastAsia" w:ascii="宋体" w:hAnsi="宋体" w:eastAsia="宋体" w:cs="宋体"/>
          <w:color w:val="auto"/>
          <w:szCs w:val="21"/>
          <w:highlight w:val="none"/>
          <w:u w:val="single"/>
        </w:rPr>
        <w:t>以相关的国家标准、行业标准等为依据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 计量周期</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按月进行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12.3.4 总价合同的计量</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每月25日前提交当月已完工程量报告，监理工程师在2日内审核完毕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12.3.5总价合同采用支付分解表计量支付的，是否适用第</w:t>
      </w:r>
      <w:r>
        <w:rPr>
          <w:rFonts w:hint="eastAsia" w:ascii="宋体" w:hAnsi="宋体" w:eastAsia="宋体" w:cs="宋体"/>
          <w:color w:val="auto"/>
          <w:kern w:val="0"/>
          <w:sz w:val="21"/>
          <w:szCs w:val="21"/>
          <w:highlight w:val="none"/>
        </w:rPr>
        <w:t xml:space="preserve">12.3.4 </w:t>
      </w:r>
      <w:r>
        <w:rPr>
          <w:rFonts w:hint="eastAsia" w:ascii="宋体" w:hAnsi="宋体" w:eastAsia="宋体" w:cs="宋体"/>
          <w:color w:val="auto"/>
          <w:sz w:val="21"/>
          <w:szCs w:val="21"/>
          <w:highlight w:val="none"/>
        </w:rPr>
        <w:t>项</w:t>
      </w:r>
      <w:r>
        <w:rPr>
          <w:rFonts w:hint="eastAsia" w:ascii="宋体" w:hAnsi="宋体" w:eastAsia="宋体" w:cs="宋体"/>
          <w:color w:val="auto"/>
          <w:kern w:val="0"/>
          <w:sz w:val="21"/>
          <w:szCs w:val="21"/>
          <w:highlight w:val="none"/>
        </w:rPr>
        <w:t>〔总价合同的计量〕</w:t>
      </w:r>
      <w:r>
        <w:rPr>
          <w:rFonts w:hint="eastAsia" w:ascii="宋体" w:hAnsi="宋体" w:eastAsia="宋体" w:cs="宋体"/>
          <w:color w:val="auto"/>
          <w:sz w:val="21"/>
          <w:szCs w:val="21"/>
          <w:highlight w:val="none"/>
        </w:rPr>
        <w:t>约定进行计量：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否</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12.3.6 其他价格形式合同的计量</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 工程进度款支付</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12.4.1 付款周期</w:t>
      </w:r>
    </w:p>
    <w:p>
      <w:pPr>
        <w:pageBreakBefore w:val="0"/>
        <w:kinsoku/>
        <w:wordWrap/>
        <w:overflowPunct/>
        <w:topLinePunct w:val="0"/>
        <w:bidi w:val="0"/>
        <w:spacing w:line="240" w:lineRule="auto"/>
        <w:ind w:firstLine="420" w:firstLineChars="200"/>
        <w:jc w:val="left"/>
        <w:rPr>
          <w:rFonts w:hint="eastAsia" w:ascii="宋体" w:hAnsi="宋体" w:eastAsia="宋体" w:cs="宋体"/>
          <w:b/>
          <w:bCs/>
          <w:strike w:val="0"/>
          <w:dstrike w:val="0"/>
          <w:color w:val="auto"/>
          <w:sz w:val="21"/>
          <w:szCs w:val="21"/>
          <w:highlight w:val="none"/>
          <w:u w:val="single"/>
          <w:lang w:val="en-US" w:eastAsia="zh-CN"/>
        </w:rPr>
      </w:pPr>
      <w:r>
        <w:rPr>
          <w:rFonts w:hint="eastAsia" w:ascii="宋体" w:hAnsi="宋体" w:eastAsia="宋体" w:cs="宋体"/>
          <w:color w:val="auto"/>
          <w:sz w:val="21"/>
          <w:szCs w:val="21"/>
          <w:highlight w:val="none"/>
        </w:rPr>
        <w:t>关于付款周期的约定：</w:t>
      </w:r>
      <w:r>
        <w:rPr>
          <w:rFonts w:hint="eastAsia" w:ascii="宋体" w:hAnsi="宋体" w:eastAsia="宋体" w:cs="宋体"/>
          <w:b/>
          <w:bCs/>
          <w:strike w:val="0"/>
          <w:dstrike w:val="0"/>
          <w:color w:val="auto"/>
          <w:sz w:val="21"/>
          <w:szCs w:val="21"/>
          <w:highlight w:val="none"/>
          <w:u w:val="single"/>
          <w:lang w:val="en-US" w:eastAsia="zh-CN"/>
        </w:rPr>
        <w:t>合同签订及中标人提供预付款担保后，</w:t>
      </w:r>
      <w:r>
        <w:rPr>
          <w:rFonts w:hint="eastAsia" w:ascii="宋体" w:hAnsi="宋体" w:cs="宋体"/>
          <w:b/>
          <w:bCs/>
          <w:color w:val="auto"/>
          <w:sz w:val="21"/>
          <w:szCs w:val="21"/>
          <w:highlight w:val="none"/>
          <w:u w:val="single"/>
          <w:lang w:val="en-US" w:eastAsia="zh-CN"/>
        </w:rPr>
        <w:t>支付给承包人合同金额的70%作为预付款，</w:t>
      </w:r>
      <w:r>
        <w:rPr>
          <w:rFonts w:hint="eastAsia" w:ascii="宋体" w:hAnsi="宋体" w:cs="宋体"/>
          <w:b/>
          <w:bCs/>
          <w:strike w:val="0"/>
          <w:dstrike w:val="0"/>
          <w:color w:val="auto"/>
          <w:sz w:val="21"/>
          <w:szCs w:val="21"/>
          <w:highlight w:val="none"/>
          <w:u w:val="single"/>
          <w:lang w:val="en-US" w:eastAsia="zh-CN"/>
        </w:rPr>
        <w:t>承包人提交工程竣工结算审计定案金额的3%作为质量保证金后，一次性付清工程款。工程质量保证金待工程缺陷责任期满后一次性退还（工程质量保证金保函保险有效期与缺陷责任期截止时间保持一致）。工程质量保证金的形式可为银行保函、担保保函、保证保险等非现金形式</w:t>
      </w:r>
      <w:r>
        <w:rPr>
          <w:rFonts w:hint="eastAsia" w:ascii="宋体" w:hAnsi="宋体" w:eastAsia="宋体" w:cs="宋体"/>
          <w:b/>
          <w:bCs/>
          <w:strike w:val="0"/>
          <w:dstrike w:val="0"/>
          <w:color w:val="auto"/>
          <w:sz w:val="21"/>
          <w:szCs w:val="21"/>
          <w:highlight w:val="none"/>
          <w:u w:val="single"/>
          <w:lang w:val="en-US" w:eastAsia="zh-CN"/>
        </w:rPr>
        <w:t>。每次工程进度款支付前，承包人须按审定金额出具发票 。</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w:t>
      </w:r>
      <w:r>
        <w:rPr>
          <w:rFonts w:hint="eastAsia" w:ascii="宋体" w:hAnsi="宋体" w:cs="宋体"/>
          <w:strike w:val="0"/>
          <w:dstrike w:val="0"/>
          <w:color w:val="auto"/>
          <w:szCs w:val="21"/>
          <w:highlight w:val="none"/>
          <w:u w:val="single"/>
          <w:lang w:eastAsia="zh-CN"/>
        </w:rPr>
        <w:t>竞争性谈判文件</w:t>
      </w:r>
      <w:r>
        <w:rPr>
          <w:rFonts w:hint="eastAsia" w:ascii="宋体" w:hAnsi="宋体" w:eastAsia="宋体" w:cs="宋体"/>
          <w:strike w:val="0"/>
          <w:color w:val="auto"/>
          <w:szCs w:val="21"/>
          <w:highlight w:val="none"/>
          <w:u w:val="single"/>
        </w:rPr>
        <w:t>及</w:t>
      </w:r>
      <w:r>
        <w:rPr>
          <w:rFonts w:hint="eastAsia" w:ascii="宋体" w:hAnsi="宋体" w:eastAsia="宋体" w:cs="宋体"/>
          <w:color w:val="auto"/>
          <w:szCs w:val="21"/>
          <w:highlight w:val="none"/>
          <w:u w:val="single"/>
        </w:rPr>
        <w:t>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12.4.3 进度付款申请单的提交</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（3）其他价格形式合同进度付款申请单提交的约定：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（1）监理人审查并报送发包人的期限：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（2）发包人支付进度款的期限：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525" w:firstLineChars="2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pPr>
        <w:pageBreakBefore w:val="0"/>
        <w:kinsoku/>
        <w:wordWrap/>
        <w:overflowPunct/>
        <w:topLinePunct w:val="0"/>
        <w:bidi w:val="0"/>
        <w:spacing w:line="240" w:lineRule="auto"/>
        <w:ind w:left="4200" w:leftChars="200" w:hanging="3780" w:hangingChars="18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2、总价合同支付分解表的编制与审批：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3、单价合同的总价项目支付分解表的编制与审批：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13. 验收和工程试车</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分部分项工程验收</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pPr>
        <w:pageBreakBefore w:val="0"/>
        <w:kinsoku/>
        <w:wordWrap/>
        <w:overflowPunct/>
        <w:topLinePunct w:val="0"/>
        <w:bidi w:val="0"/>
        <w:spacing w:line="240" w:lineRule="auto"/>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48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竣工验收</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13.2.2竣工验收程序</w:t>
      </w:r>
    </w:p>
    <w:p>
      <w:pPr>
        <w:pageBreakBefore w:val="0"/>
        <w:kinsoku/>
        <w:wordWrap/>
        <w:overflowPunct/>
        <w:topLinePunct w:val="0"/>
        <w:bidi w:val="0"/>
        <w:spacing w:line="240" w:lineRule="auto"/>
        <w:ind w:left="4200" w:leftChars="200" w:hanging="3780" w:hangingChars="18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工程试车</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承担；</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承担。</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67" w:name="_Toc31312"/>
      <w:bookmarkStart w:id="168" w:name="_Toc7888"/>
      <w:bookmarkStart w:id="169" w:name="_Toc24741"/>
      <w:r>
        <w:rPr>
          <w:rFonts w:hint="eastAsia" w:ascii="宋体" w:hAnsi="宋体" w:eastAsia="宋体" w:cs="宋体"/>
          <w:color w:val="auto"/>
          <w:sz w:val="21"/>
          <w:szCs w:val="21"/>
          <w:highlight w:val="none"/>
        </w:rPr>
        <w:t>13.6 竣工退场</w:t>
      </w:r>
      <w:bookmarkEnd w:id="167"/>
      <w:bookmarkEnd w:id="168"/>
      <w:bookmarkEnd w:id="169"/>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颁发工程接收证书后7日内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 竣工结算</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竣工结算申请</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承包人提交竣工结算申请单的期限：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竣工结算申请单应包括的内容：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除执行通用条款外，还必须提交竣工结算审</w:t>
      </w:r>
      <w:r>
        <w:rPr>
          <w:rFonts w:hint="eastAsia" w:ascii="宋体" w:hAnsi="宋体" w:eastAsia="宋体" w:cs="宋体"/>
          <w:color w:val="auto"/>
          <w:szCs w:val="21"/>
          <w:highlight w:val="none"/>
          <w:u w:val="single"/>
          <w:lang w:eastAsia="zh-CN"/>
        </w:rPr>
        <w:t>定</w:t>
      </w:r>
      <w:r>
        <w:rPr>
          <w:rFonts w:hint="eastAsia" w:ascii="宋体" w:hAnsi="宋体" w:eastAsia="宋体" w:cs="宋体"/>
          <w:color w:val="auto"/>
          <w:szCs w:val="21"/>
          <w:highlight w:val="none"/>
          <w:u w:val="single"/>
        </w:rPr>
        <w:t>所需的资料文件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70" w:name="_Toc20936"/>
      <w:bookmarkStart w:id="171" w:name="_Toc54"/>
      <w:bookmarkStart w:id="172" w:name="_Toc20379"/>
      <w:r>
        <w:rPr>
          <w:rFonts w:hint="eastAsia" w:ascii="宋体" w:hAnsi="宋体" w:eastAsia="宋体" w:cs="宋体"/>
          <w:color w:val="auto"/>
          <w:sz w:val="21"/>
          <w:szCs w:val="21"/>
          <w:highlight w:val="none"/>
        </w:rPr>
        <w:t>14.2 竣工结算审核</w:t>
      </w:r>
      <w:bookmarkEnd w:id="170"/>
      <w:bookmarkEnd w:id="171"/>
      <w:bookmarkEnd w:id="172"/>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依法定程序竣工结算审</w:t>
      </w:r>
      <w:r>
        <w:rPr>
          <w:rFonts w:hint="eastAsia" w:ascii="宋体" w:hAnsi="宋体" w:eastAsia="宋体" w:cs="宋体"/>
          <w:color w:val="auto"/>
          <w:szCs w:val="21"/>
          <w:highlight w:val="none"/>
          <w:u w:val="single"/>
          <w:lang w:eastAsia="zh-CN"/>
        </w:rPr>
        <w:t>定</w:t>
      </w:r>
      <w:r>
        <w:rPr>
          <w:rFonts w:hint="eastAsia" w:ascii="宋体" w:hAnsi="宋体" w:eastAsia="宋体" w:cs="宋体"/>
          <w:color w:val="auto"/>
          <w:szCs w:val="21"/>
          <w:highlight w:val="none"/>
          <w:u w:val="single"/>
        </w:rPr>
        <w:t>后30日内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发包人完成竣工付款的期限：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签发竣工付款证书后60日内</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关于竣工付款证书异议部分复核的方式和程序：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最终结清</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叁份</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（2）发包人完成支付的期限：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颁发最终结算证书后30日内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15. 缺陷责任期与保修</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15.2缺陷责任期</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b/>
          <w:bCs/>
          <w:color w:val="auto"/>
          <w:sz w:val="21"/>
          <w:szCs w:val="21"/>
          <w:highlight w:val="none"/>
          <w:u w:val="single"/>
          <w:lang w:eastAsia="zh-CN"/>
        </w:rPr>
        <w:t>个月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73" w:name="_Toc25046"/>
      <w:bookmarkStart w:id="174" w:name="_Toc4987"/>
      <w:bookmarkStart w:id="175" w:name="_Toc22641"/>
      <w:r>
        <w:rPr>
          <w:rFonts w:hint="eastAsia" w:ascii="宋体" w:hAnsi="宋体" w:eastAsia="宋体" w:cs="宋体"/>
          <w:color w:val="auto"/>
          <w:sz w:val="21"/>
          <w:szCs w:val="21"/>
          <w:highlight w:val="none"/>
        </w:rPr>
        <w:t>15.3 质量保证金</w:t>
      </w:r>
      <w:bookmarkEnd w:id="173"/>
      <w:bookmarkEnd w:id="174"/>
      <w:bookmarkEnd w:id="175"/>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。在工程项目竣工前，承包人按专用合同条款第3.7条提供履约担保的，发包人不得同时预留工程质量保证金。</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p>
    <w:p>
      <w:pPr>
        <w:pageBreakBefore w:val="0"/>
        <w:kinsoku/>
        <w:wordWrap/>
        <w:overflowPunct/>
        <w:topLinePunct w:val="0"/>
        <w:bidi w:val="0"/>
        <w:spacing w:line="240" w:lineRule="auto"/>
        <w:ind w:firstLine="420" w:firstLineChars="200"/>
        <w:jc w:val="left"/>
        <w:outlineLvl w:val="0"/>
        <w:rPr>
          <w:rFonts w:hint="eastAsia" w:ascii="宋体" w:hAnsi="宋体" w:eastAsia="宋体" w:cs="宋体"/>
          <w:color w:val="auto"/>
          <w:sz w:val="21"/>
          <w:szCs w:val="21"/>
          <w:highlight w:val="none"/>
        </w:rPr>
      </w:pPr>
      <w:bookmarkStart w:id="176" w:name="_Toc16050"/>
      <w:bookmarkStart w:id="177" w:name="_Toc5886"/>
      <w:bookmarkStart w:id="178" w:name="_Toc32379"/>
      <w:r>
        <w:rPr>
          <w:rFonts w:hint="eastAsia" w:ascii="宋体" w:hAnsi="宋体" w:eastAsia="宋体" w:cs="宋体"/>
          <w:color w:val="auto"/>
          <w:sz w:val="21"/>
          <w:szCs w:val="21"/>
          <w:highlight w:val="none"/>
        </w:rPr>
        <w:t>15.3.1 承包人提供质量保证金的方式</w:t>
      </w:r>
      <w:bookmarkEnd w:id="176"/>
      <w:bookmarkEnd w:id="177"/>
      <w:bookmarkEnd w:id="178"/>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质量保证金采用以下第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（1）质量保证金保函，</w:t>
      </w:r>
      <w:r>
        <w:rPr>
          <w:rFonts w:hint="eastAsia" w:ascii="宋体" w:hAnsi="宋体" w:eastAsia="宋体" w:cs="宋体"/>
          <w:color w:val="auto"/>
          <w:highlight w:val="none"/>
          <w:lang w:val="en-US" w:eastAsia="zh-CN"/>
        </w:rPr>
        <w:t>保函形式为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r>
        <w:rPr>
          <w:rFonts w:hint="eastAsia" w:ascii="宋体" w:hAnsi="宋体" w:eastAsia="宋体" w:cs="宋体"/>
          <w:color w:val="auto"/>
          <w:kern w:val="0"/>
          <w:sz w:val="21"/>
          <w:szCs w:val="21"/>
          <w:highlight w:val="none"/>
        </w:rPr>
        <w:t>保证金额为：</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%的工程款；</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工程竣工结算审计定案金额的3%，形式可为银行保函、担保保函、保证保险等非现金形式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outlineLvl w:val="0"/>
        <w:rPr>
          <w:rFonts w:hint="eastAsia" w:ascii="宋体" w:hAnsi="宋体" w:eastAsia="宋体" w:cs="宋体"/>
          <w:color w:val="auto"/>
          <w:sz w:val="21"/>
          <w:szCs w:val="21"/>
          <w:highlight w:val="none"/>
        </w:rPr>
      </w:pPr>
      <w:bookmarkStart w:id="179" w:name="_Toc26957"/>
      <w:bookmarkStart w:id="180" w:name="_Toc6871"/>
      <w:bookmarkStart w:id="181" w:name="_Toc31404"/>
      <w:r>
        <w:rPr>
          <w:rFonts w:hint="eastAsia" w:ascii="宋体" w:hAnsi="宋体" w:eastAsia="宋体" w:cs="宋体"/>
          <w:color w:val="auto"/>
          <w:sz w:val="21"/>
          <w:szCs w:val="21"/>
          <w:highlight w:val="none"/>
        </w:rPr>
        <w:t>15.3.2 质量保证金的扣留</w:t>
      </w:r>
      <w:bookmarkEnd w:id="179"/>
      <w:bookmarkEnd w:id="180"/>
      <w:bookmarkEnd w:id="181"/>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pPr>
        <w:pageBreakBefore w:val="0"/>
        <w:kinsoku/>
        <w:wordWrap/>
        <w:overflowPunct/>
        <w:topLinePunct w:val="0"/>
        <w:autoSpaceDE w:val="0"/>
        <w:autoSpaceDN w:val="0"/>
        <w:bidi w:val="0"/>
        <w:adjustRightInd w:val="0"/>
        <w:spacing w:line="240" w:lineRule="auto"/>
        <w:ind w:firstLine="420" w:firstLineChars="200"/>
        <w:jc w:val="left"/>
        <w:outlineLvl w:val="0"/>
        <w:rPr>
          <w:rFonts w:hint="eastAsia" w:ascii="宋体" w:hAnsi="宋体" w:eastAsia="宋体" w:cs="宋体"/>
          <w:color w:val="auto"/>
          <w:kern w:val="0"/>
          <w:sz w:val="21"/>
          <w:szCs w:val="21"/>
          <w:highlight w:val="none"/>
        </w:rPr>
      </w:pPr>
      <w:bookmarkStart w:id="182" w:name="_Toc30669"/>
      <w:bookmarkStart w:id="183" w:name="_Toc27486"/>
      <w:bookmarkStart w:id="184" w:name="_Toc1647"/>
      <w:r>
        <w:rPr>
          <w:rFonts w:hint="eastAsia" w:ascii="宋体" w:hAnsi="宋体" w:eastAsia="宋体" w:cs="宋体"/>
          <w:color w:val="auto"/>
          <w:kern w:val="0"/>
          <w:sz w:val="21"/>
          <w:szCs w:val="21"/>
          <w:highlight w:val="none"/>
        </w:rPr>
        <w:t>（2）工程竣工结算时一次性扣留质量保证金</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highlight w:val="none"/>
          <w:lang w:val="en-US" w:eastAsia="zh-CN"/>
        </w:rPr>
        <w:t>如为</w:t>
      </w:r>
      <w:r>
        <w:rPr>
          <w:rFonts w:hint="eastAsia" w:ascii="宋体" w:hAnsi="宋体" w:eastAsia="宋体" w:cs="宋体"/>
          <w:color w:val="auto"/>
          <w:kern w:val="0"/>
          <w:sz w:val="21"/>
          <w:szCs w:val="21"/>
          <w:highlight w:val="none"/>
        </w:rPr>
        <w:t>质量保证金</w:t>
      </w:r>
      <w:r>
        <w:rPr>
          <w:rFonts w:hint="eastAsia" w:ascii="宋体" w:hAnsi="宋体" w:eastAsia="宋体" w:cs="宋体"/>
          <w:color w:val="auto"/>
          <w:highlight w:val="none"/>
          <w:lang w:val="en-US" w:eastAsia="zh-CN"/>
        </w:rPr>
        <w:t>保函，承包人按</w:t>
      </w:r>
      <w:r>
        <w:rPr>
          <w:rFonts w:hint="eastAsia" w:ascii="宋体" w:hAnsi="宋体" w:eastAsia="宋体" w:cs="宋体"/>
          <w:color w:val="auto"/>
          <w:kern w:val="0"/>
          <w:sz w:val="21"/>
          <w:szCs w:val="21"/>
          <w:highlight w:val="none"/>
          <w:lang w:val="en-US" w:eastAsia="zh-CN"/>
        </w:rPr>
        <w:t>发包人要求提供</w:t>
      </w:r>
      <w:r>
        <w:rPr>
          <w:rFonts w:hint="eastAsia" w:ascii="宋体" w:hAnsi="宋体" w:eastAsia="宋体" w:cs="宋体"/>
          <w:color w:val="auto"/>
          <w:highlight w:val="none"/>
          <w:lang w:val="en-US" w:eastAsia="zh-CN"/>
        </w:rPr>
        <w:t>银行保函</w:t>
      </w:r>
      <w:r>
        <w:rPr>
          <w:rFonts w:hint="eastAsia" w:ascii="宋体" w:hAnsi="宋体" w:eastAsia="宋体" w:cs="宋体"/>
          <w:color w:val="auto"/>
          <w:kern w:val="0"/>
          <w:sz w:val="21"/>
          <w:szCs w:val="21"/>
          <w:highlight w:val="none"/>
        </w:rPr>
        <w:t>；</w:t>
      </w:r>
      <w:bookmarkEnd w:id="182"/>
      <w:bookmarkEnd w:id="183"/>
      <w:bookmarkEnd w:id="184"/>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关于质量保证金的补充约定：</w:t>
      </w:r>
      <w:r>
        <w:rPr>
          <w:rFonts w:hint="eastAsia" w:ascii="宋体" w:hAnsi="宋体" w:eastAsia="宋体" w:cs="宋体"/>
          <w:color w:val="auto"/>
          <w:kern w:val="0"/>
          <w:sz w:val="21"/>
          <w:szCs w:val="21"/>
          <w:highlight w:val="none"/>
          <w:u w:val="single"/>
        </w:rPr>
        <w:t xml:space="preserve">        无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15.4保修</w:t>
      </w:r>
    </w:p>
    <w:p>
      <w:pPr>
        <w:pageBreakBefore w:val="0"/>
        <w:kinsoku/>
        <w:wordWrap/>
        <w:overflowPunct/>
        <w:topLinePunct w:val="0"/>
        <w:bidi w:val="0"/>
        <w:spacing w:line="240" w:lineRule="auto"/>
        <w:ind w:firstLine="409" w:firstLineChars="19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执行国家相关保修规定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09" w:firstLineChars="19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承包人收到保修通知并到达工程现场的合理时间：</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48</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小时内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 违约</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85" w:name="_Toc31488"/>
      <w:bookmarkStart w:id="186" w:name="_Toc10292"/>
      <w:bookmarkStart w:id="187" w:name="_Toc6376"/>
      <w:r>
        <w:rPr>
          <w:rFonts w:hint="eastAsia" w:ascii="宋体" w:hAnsi="宋体" w:eastAsia="宋体" w:cs="宋体"/>
          <w:color w:val="auto"/>
          <w:sz w:val="21"/>
          <w:szCs w:val="21"/>
          <w:highlight w:val="none"/>
        </w:rPr>
        <w:t>16.1 发包人违约</w:t>
      </w:r>
      <w:bookmarkEnd w:id="185"/>
      <w:bookmarkEnd w:id="186"/>
      <w:bookmarkEnd w:id="187"/>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p>
    <w:p>
      <w:pPr>
        <w:pageBreakBefore w:val="0"/>
        <w:kinsoku/>
        <w:wordWrap/>
        <w:overflowPunct/>
        <w:topLinePunct w:val="0"/>
        <w:bidi w:val="0"/>
        <w:spacing w:line="240" w:lineRule="auto"/>
        <w:ind w:left="1050" w:leftChars="200" w:hanging="630" w:hangingChars="3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left="1500" w:hanging="1050" w:hangingChars="5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16.1.2 发包人违约的责任</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（5）因发包人违反合同约定造成暂停施工的违约责任：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56</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88" w:name="_Toc32438"/>
      <w:bookmarkStart w:id="189" w:name="_Toc17176"/>
      <w:bookmarkStart w:id="190" w:name="_Toc4335"/>
      <w:r>
        <w:rPr>
          <w:rFonts w:hint="eastAsia" w:ascii="宋体" w:hAnsi="宋体" w:eastAsia="宋体" w:cs="宋体"/>
          <w:color w:val="auto"/>
          <w:sz w:val="21"/>
          <w:szCs w:val="21"/>
          <w:highlight w:val="none"/>
        </w:rPr>
        <w:t>16.2 承包人违约</w:t>
      </w:r>
      <w:bookmarkEnd w:id="188"/>
      <w:bookmarkEnd w:id="189"/>
      <w:bookmarkEnd w:id="190"/>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Cs w:val="21"/>
          <w:highlight w:val="none"/>
          <w:u w:val="single"/>
          <w:lang w:eastAsia="zh-CN"/>
        </w:rPr>
        <w:t>承包人</w:t>
      </w:r>
      <w:r>
        <w:rPr>
          <w:rFonts w:hint="eastAsia" w:ascii="宋体" w:hAnsi="宋体" w:eastAsia="宋体" w:cs="宋体"/>
          <w:color w:val="auto"/>
          <w:szCs w:val="21"/>
          <w:highlight w:val="none"/>
          <w:u w:val="single"/>
        </w:rPr>
        <w:t>未按</w:t>
      </w:r>
      <w:r>
        <w:rPr>
          <w:rFonts w:hint="eastAsia" w:ascii="宋体" w:hAnsi="宋体" w:cs="宋体"/>
          <w:color w:val="auto"/>
          <w:szCs w:val="21"/>
          <w:highlight w:val="none"/>
          <w:u w:val="single"/>
          <w:lang w:eastAsia="zh-CN"/>
        </w:rPr>
        <w:t>谈判响应文件</w:t>
      </w:r>
      <w:r>
        <w:rPr>
          <w:rFonts w:hint="eastAsia" w:ascii="宋体" w:hAnsi="宋体" w:eastAsia="宋体" w:cs="宋体"/>
          <w:color w:val="auto"/>
          <w:szCs w:val="21"/>
          <w:highlight w:val="none"/>
          <w:u w:val="single"/>
        </w:rPr>
        <w:t>所提交的项目组织机构管理人员和</w:t>
      </w:r>
      <w:r>
        <w:rPr>
          <w:rFonts w:hint="eastAsia" w:ascii="宋体" w:hAnsi="宋体" w:cs="宋体"/>
          <w:color w:val="auto"/>
          <w:szCs w:val="21"/>
          <w:highlight w:val="none"/>
          <w:u w:val="single"/>
          <w:lang w:eastAsia="zh-CN"/>
        </w:rPr>
        <w:t>竞争性谈判文件</w:t>
      </w:r>
      <w:r>
        <w:rPr>
          <w:rFonts w:hint="eastAsia" w:ascii="宋体" w:hAnsi="宋体" w:eastAsia="宋体" w:cs="宋体"/>
          <w:color w:val="auto"/>
          <w:szCs w:val="21"/>
          <w:highlight w:val="none"/>
          <w:u w:val="single"/>
        </w:rPr>
        <w:t>约定到岗尽职尽责，或未经发包人同意私自更换项目管理人员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16.2.2承包人违约的责任</w:t>
      </w:r>
    </w:p>
    <w:p>
      <w:pPr>
        <w:pageBreakBefore w:val="0"/>
        <w:kinsoku/>
        <w:wordWrap/>
        <w:overflowPunct/>
        <w:topLinePunct w:val="0"/>
        <w:bidi w:val="0"/>
        <w:spacing w:line="240" w:lineRule="auto"/>
        <w:ind w:left="1050" w:leftChars="200" w:hanging="630" w:hangingChars="3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承包人违约责任的承担方式和计算方法：</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w:t>
      </w:r>
      <w:r>
        <w:rPr>
          <w:rFonts w:hint="eastAsia" w:ascii="宋体" w:hAnsi="宋体" w:cs="宋体"/>
          <w:color w:val="auto"/>
          <w:szCs w:val="21"/>
          <w:highlight w:val="none"/>
          <w:u w:val="single"/>
          <w:lang w:eastAsia="zh-CN"/>
        </w:rPr>
        <w:t>竞争性谈判文件</w:t>
      </w:r>
      <w:r>
        <w:rPr>
          <w:rFonts w:hint="eastAsia" w:ascii="宋体" w:hAnsi="宋体" w:eastAsia="宋体" w:cs="宋体"/>
          <w:color w:val="auto"/>
          <w:szCs w:val="21"/>
          <w:highlight w:val="none"/>
          <w:u w:val="single"/>
        </w:rPr>
        <w:t>及通用条款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w:t>
      </w:r>
      <w:r>
        <w:rPr>
          <w:rFonts w:hint="eastAsia" w:ascii="宋体" w:hAnsi="宋体" w:cs="宋体"/>
          <w:color w:val="auto"/>
          <w:szCs w:val="21"/>
          <w:highlight w:val="none"/>
          <w:u w:val="single"/>
          <w:lang w:eastAsia="zh-CN"/>
        </w:rPr>
        <w:t>竞争性谈判文件</w:t>
      </w:r>
      <w:r>
        <w:rPr>
          <w:rFonts w:hint="eastAsia" w:ascii="宋体" w:hAnsi="宋体" w:eastAsia="宋体" w:cs="宋体"/>
          <w:color w:val="auto"/>
          <w:szCs w:val="21"/>
          <w:highlight w:val="none"/>
          <w:u w:val="single"/>
        </w:rPr>
        <w:t>及通用合同条款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由承包人承担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17. 不可抗力 </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不可抗力的确认</w:t>
      </w:r>
    </w:p>
    <w:p>
      <w:pPr>
        <w:pageBreakBefore w:val="0"/>
        <w:kinsoku/>
        <w:wordWrap/>
        <w:overflowPunct/>
        <w:topLinePunct w:val="0"/>
        <w:bidi w:val="0"/>
        <w:spacing w:beforeAutospacing="0" w:afterAutospacing="0" w:line="24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除通用合同条款约定的不可抗力事件之外，视为不可抗力的其他情形： </w:t>
      </w:r>
    </w:p>
    <w:p>
      <w:pPr>
        <w:pageBreakBefore w:val="0"/>
        <w:kinsoku/>
        <w:wordWrap/>
        <w:overflowPunct/>
        <w:topLinePunct w:val="0"/>
        <w:bidi w:val="0"/>
        <w:spacing w:beforeAutospacing="0" w:afterAutospacing="0" w:line="24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（1）4级以上的地震；</w:t>
      </w:r>
    </w:p>
    <w:p>
      <w:pPr>
        <w:pageBreakBefore w:val="0"/>
        <w:kinsoku/>
        <w:wordWrap/>
        <w:overflowPunct/>
        <w:topLinePunct w:val="0"/>
        <w:bidi w:val="0"/>
        <w:spacing w:beforeAutospacing="0" w:afterAutospacing="0" w:line="24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（2）8级以上的持续3天的大风；</w:t>
      </w:r>
    </w:p>
    <w:p>
      <w:pPr>
        <w:pageBreakBefore w:val="0"/>
        <w:kinsoku/>
        <w:wordWrap/>
        <w:overflowPunct/>
        <w:topLinePunct w:val="0"/>
        <w:bidi w:val="0"/>
        <w:spacing w:beforeAutospacing="0" w:afterAutospacing="0" w:line="24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（3）连续4日日降雨量达到100mm以上的大雨；</w:t>
      </w:r>
    </w:p>
    <w:p>
      <w:pPr>
        <w:pageBreakBefore w:val="0"/>
        <w:kinsoku/>
        <w:wordWrap/>
        <w:overflowPunct/>
        <w:topLinePunct w:val="0"/>
        <w:bidi w:val="0"/>
        <w:spacing w:beforeAutospacing="0" w:afterAutospacing="0" w:line="24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（4）30毫米以上的持续3天的大雪；</w:t>
      </w:r>
    </w:p>
    <w:p>
      <w:pPr>
        <w:pageBreakBefore w:val="0"/>
        <w:kinsoku/>
        <w:wordWrap/>
        <w:overflowPunct/>
        <w:topLinePunct w:val="0"/>
        <w:bidi w:val="0"/>
        <w:spacing w:beforeAutospacing="0" w:afterAutospacing="0" w:line="24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（5）50年以上未发生过的，持续3天的高温天气；</w:t>
      </w:r>
    </w:p>
    <w:p>
      <w:pPr>
        <w:pageBreakBefore w:val="0"/>
        <w:kinsoku/>
        <w:wordWrap/>
        <w:overflowPunct/>
        <w:topLinePunct w:val="0"/>
        <w:bidi w:val="0"/>
        <w:spacing w:beforeAutospacing="0" w:afterAutospacing="0" w:line="24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（6）50年以上未发生过的，持续3天的低温天气；</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szCs w:val="21"/>
          <w:highlight w:val="none"/>
          <w:u w:val="single"/>
        </w:rPr>
        <w:t>（7）50年以上未发生过的洪水</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91" w:name="_Toc26416"/>
      <w:bookmarkStart w:id="192" w:name="_Toc4538"/>
      <w:bookmarkStart w:id="193" w:name="_Toc22286"/>
      <w:r>
        <w:rPr>
          <w:rFonts w:hint="eastAsia" w:ascii="宋体" w:hAnsi="宋体" w:eastAsia="宋体" w:cs="宋体"/>
          <w:color w:val="auto"/>
          <w:sz w:val="21"/>
          <w:szCs w:val="21"/>
          <w:highlight w:val="none"/>
        </w:rPr>
        <w:t>17.4 因不可抗力解除合同</w:t>
      </w:r>
      <w:bookmarkEnd w:id="191"/>
      <w:bookmarkEnd w:id="192"/>
      <w:bookmarkEnd w:id="193"/>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合同解除后，发包人应在商定或确定发包人应支付款项后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天内完成款项的支付。</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 保险</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工程保险</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所有工程保险费用均由承包人承担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94" w:name="_Toc878"/>
      <w:bookmarkStart w:id="195" w:name="_Toc8905"/>
      <w:bookmarkStart w:id="196" w:name="_Toc27652"/>
      <w:r>
        <w:rPr>
          <w:rFonts w:hint="eastAsia" w:ascii="宋体" w:hAnsi="宋体" w:eastAsia="宋体" w:cs="宋体"/>
          <w:color w:val="auto"/>
          <w:sz w:val="21"/>
          <w:szCs w:val="21"/>
          <w:highlight w:val="none"/>
        </w:rPr>
        <w:t>18.3 其他保险</w:t>
      </w:r>
      <w:bookmarkEnd w:id="194"/>
      <w:bookmarkEnd w:id="195"/>
      <w:bookmarkEnd w:id="196"/>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承包人是否应为其施工设备等办理财产保险：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 通知义务</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7"/>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20. 争议解决</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97" w:name="_Toc23589"/>
      <w:bookmarkStart w:id="198" w:name="_Toc11054"/>
      <w:bookmarkStart w:id="199" w:name="_Toc24152"/>
      <w:r>
        <w:rPr>
          <w:rFonts w:hint="eastAsia" w:ascii="宋体" w:hAnsi="宋体" w:eastAsia="宋体" w:cs="宋体"/>
          <w:color w:val="auto"/>
          <w:sz w:val="21"/>
          <w:szCs w:val="21"/>
          <w:highlight w:val="none"/>
        </w:rPr>
        <w:t>20.3 争议评审</w:t>
      </w:r>
      <w:bookmarkEnd w:id="197"/>
      <w:bookmarkEnd w:id="198"/>
      <w:bookmarkEnd w:id="199"/>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否</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ind w:firstLine="420" w:firstLineChars="200"/>
        <w:jc w:val="left"/>
        <w:outlineLvl w:val="0"/>
        <w:rPr>
          <w:rFonts w:hint="eastAsia" w:ascii="宋体" w:hAnsi="宋体" w:eastAsia="宋体" w:cs="宋体"/>
          <w:color w:val="auto"/>
          <w:sz w:val="21"/>
          <w:szCs w:val="21"/>
          <w:highlight w:val="none"/>
        </w:rPr>
      </w:pPr>
      <w:bookmarkStart w:id="200" w:name="_Toc2029"/>
      <w:bookmarkStart w:id="201" w:name="_Toc4664"/>
      <w:bookmarkStart w:id="202" w:name="_Toc27231"/>
      <w:r>
        <w:rPr>
          <w:rFonts w:hint="eastAsia" w:ascii="宋体" w:hAnsi="宋体" w:eastAsia="宋体" w:cs="宋体"/>
          <w:color w:val="auto"/>
          <w:sz w:val="21"/>
          <w:szCs w:val="21"/>
          <w:highlight w:val="none"/>
        </w:rPr>
        <w:t>20.3.1 争议评审小组的确定</w:t>
      </w:r>
      <w:bookmarkEnd w:id="200"/>
      <w:bookmarkEnd w:id="201"/>
      <w:bookmarkEnd w:id="202"/>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adjustRightInd w:val="0"/>
        <w:spacing w:line="240" w:lineRule="auto"/>
        <w:ind w:firstLine="420" w:firstLineChars="200"/>
        <w:jc w:val="left"/>
        <w:outlineLvl w:val="0"/>
        <w:rPr>
          <w:rFonts w:hint="eastAsia" w:ascii="宋体" w:hAnsi="宋体" w:eastAsia="宋体" w:cs="宋体"/>
          <w:color w:val="auto"/>
          <w:kern w:val="0"/>
          <w:sz w:val="21"/>
          <w:szCs w:val="21"/>
          <w:highlight w:val="none"/>
        </w:rPr>
      </w:pPr>
      <w:bookmarkStart w:id="203" w:name="_Toc27311"/>
      <w:bookmarkStart w:id="204" w:name="_Toc21635"/>
      <w:bookmarkStart w:id="205" w:name="_Toc9691"/>
      <w:r>
        <w:rPr>
          <w:rFonts w:hint="eastAsia" w:ascii="宋体" w:hAnsi="宋体" w:eastAsia="宋体" w:cs="宋体"/>
          <w:color w:val="auto"/>
          <w:kern w:val="0"/>
          <w:sz w:val="21"/>
          <w:szCs w:val="21"/>
          <w:highlight w:val="none"/>
        </w:rPr>
        <w:t>20.3.2 争议评审小组的决定</w:t>
      </w:r>
      <w:bookmarkEnd w:id="203"/>
      <w:bookmarkEnd w:id="204"/>
      <w:bookmarkEnd w:id="205"/>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206" w:name="_Toc32204"/>
      <w:bookmarkStart w:id="207" w:name="_Toc1779"/>
      <w:bookmarkStart w:id="208" w:name="_Toc11715"/>
      <w:r>
        <w:rPr>
          <w:rFonts w:hint="eastAsia" w:ascii="宋体" w:hAnsi="宋体" w:eastAsia="宋体" w:cs="宋体"/>
          <w:color w:val="auto"/>
          <w:sz w:val="21"/>
          <w:szCs w:val="21"/>
          <w:highlight w:val="none"/>
        </w:rPr>
        <w:t>20.4仲裁或诉讼</w:t>
      </w:r>
      <w:bookmarkEnd w:id="206"/>
      <w:bookmarkEnd w:id="207"/>
      <w:bookmarkEnd w:id="208"/>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种方式解决：</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安庆</w:t>
      </w:r>
      <w:r>
        <w:rPr>
          <w:rFonts w:hint="eastAsia" w:ascii="宋体" w:hAnsi="宋体" w:eastAsia="宋体" w:cs="宋体"/>
          <w:color w:val="auto"/>
          <w:sz w:val="21"/>
          <w:szCs w:val="21"/>
          <w:highlight w:val="none"/>
        </w:rPr>
        <w:t>仲裁委员会申请仲裁；</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lang w:val="en-US" w:eastAsia="zh-CN"/>
        </w:rPr>
        <w:t xml:space="preserve"> 工程所在地有管辖权的 </w:t>
      </w:r>
      <w:r>
        <w:rPr>
          <w:rFonts w:hint="eastAsia" w:ascii="宋体" w:hAnsi="宋体" w:eastAsia="宋体" w:cs="宋体"/>
          <w:color w:val="auto"/>
          <w:sz w:val="21"/>
          <w:szCs w:val="21"/>
          <w:highlight w:val="none"/>
        </w:rPr>
        <w:t>人民法院起诉。</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21.补充条款</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1.承包人必须严格按《安庆市人民政府办公室关于印发安庆市工程建设领域农民工工资专用账户和工程款分账管理办法的通知》（宜政办秘〔2021〕17号）的规定执行。</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承包人应严格按照国家有关法律、法规和竞争性谈判文件、建设工程施工合同、施工图设计文件及施工标准、规范、强制性条文进行施工。因施工原因造成工程重大质量问题的，承包人应负责无偿返工，赔偿由此可能带来的发包人的损失，包括对使用功能造成影响的损失，并承担工程总造价的2%-3%的违约金，发包人有权要求撤换建造师，并保留解除施工合同的权利。</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3.承包人应仔细勘查现场，充分考虑现场装卸条件、材料堆放、实际状况等施工环境和市场风险，由此造成的造价增加或工期延误等一切责任均由承包人自负。</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4.承包人必须根据发包人的要求采取切实可行的措施并确保交通畅通和安全，施工中采取保护措施，确保各类管线安全运营，确保沿线居民出行通畅，将施工给群众带来的干扰降至最低。</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工程施工期间，承包人必须按照竞争性谈判文件要求和谈判响应文件承诺，以及经批准的施工组织设计、总进度计划、关键节点的进度计划，向发包人报劳动力和施工机械使用计划，使用计划经发包人和监理单位审定后，必须严格执行，发包人和监理单位将进行严格考核，经考核，有效劳动力人数和机械数量达不到计划要求的，视承包人违约，违约金按如下标准计算：劳动力按500元/人·天，施工机械按1000-5000元/台·天。累计出现10次（含10次）以上者，影响工程进度且不能如期完成节点工期或总工期的，发包人可解除合同，并要求承包人赔偿给发包人造成的损失。</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6.开展党建工作要求</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根据《中国共产党支部工作条例（试行）》第二章组织设置第五条：为期6个月以上的工程、工作项目等，符合条件的，应当成立党支部。</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 w:val="21"/>
          <w:szCs w:val="21"/>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pPr>
        <w:pageBreakBefore w:val="0"/>
        <w:kinsoku/>
        <w:wordWrap/>
        <w:overflowPunct/>
        <w:topLinePunct w:val="0"/>
        <w:bidi w:val="0"/>
        <w:spacing w:beforeAutospacing="0" w:afterAutospacing="0" w:line="240" w:lineRule="auto"/>
        <w:ind w:firstLine="442" w:firstLineChars="200"/>
        <w:jc w:val="left"/>
        <w:rPr>
          <w:rFonts w:hint="eastAsia" w:ascii="宋体" w:hAnsi="宋体" w:eastAsia="宋体" w:cs="宋体"/>
          <w:b/>
          <w:color w:val="auto"/>
          <w:kern w:val="0"/>
          <w:sz w:val="22"/>
          <w:szCs w:val="21"/>
          <w:highlight w:val="none"/>
        </w:rPr>
      </w:pPr>
    </w:p>
    <w:p>
      <w:pPr>
        <w:pStyle w:val="49"/>
        <w:rPr>
          <w:rFonts w:hint="eastAsia" w:ascii="宋体" w:hAnsi="宋体" w:eastAsia="宋体" w:cs="宋体"/>
          <w:b/>
          <w:color w:val="auto"/>
          <w:kern w:val="0"/>
          <w:sz w:val="22"/>
          <w:szCs w:val="21"/>
          <w:highlight w:val="none"/>
        </w:rPr>
      </w:pPr>
    </w:p>
    <w:p>
      <w:pPr>
        <w:pStyle w:val="49"/>
        <w:rPr>
          <w:rFonts w:hint="eastAsia" w:ascii="宋体" w:hAnsi="宋体" w:eastAsia="宋体" w:cs="宋体"/>
          <w:b/>
          <w:color w:val="auto"/>
          <w:kern w:val="0"/>
          <w:sz w:val="22"/>
          <w:szCs w:val="21"/>
          <w:highlight w:val="none"/>
        </w:rPr>
      </w:pPr>
    </w:p>
    <w:p>
      <w:pPr>
        <w:pStyle w:val="49"/>
        <w:rPr>
          <w:rFonts w:hint="eastAsia" w:ascii="宋体" w:hAnsi="宋体" w:eastAsia="宋体" w:cs="宋体"/>
          <w:b/>
          <w:color w:val="auto"/>
          <w:kern w:val="0"/>
          <w:sz w:val="22"/>
          <w:szCs w:val="21"/>
          <w:highlight w:val="none"/>
        </w:rPr>
      </w:pPr>
    </w:p>
    <w:p>
      <w:pPr>
        <w:pStyle w:val="49"/>
        <w:rPr>
          <w:rFonts w:hint="eastAsia" w:ascii="宋体" w:hAnsi="宋体" w:eastAsia="宋体" w:cs="宋体"/>
          <w:b/>
          <w:color w:val="auto"/>
          <w:kern w:val="0"/>
          <w:sz w:val="22"/>
          <w:szCs w:val="21"/>
          <w:highlight w:val="none"/>
        </w:rPr>
      </w:pPr>
    </w:p>
    <w:p>
      <w:pPr>
        <w:pStyle w:val="49"/>
        <w:ind w:left="0" w:leftChars="0" w:firstLine="0" w:firstLineChars="0"/>
        <w:rPr>
          <w:rFonts w:hint="eastAsia" w:ascii="宋体" w:hAnsi="宋体" w:eastAsia="宋体" w:cs="宋体"/>
          <w:b/>
          <w:color w:val="auto"/>
          <w:kern w:val="0"/>
          <w:sz w:val="22"/>
          <w:szCs w:val="21"/>
          <w:highlight w:val="none"/>
        </w:rPr>
      </w:pPr>
    </w:p>
    <w:p>
      <w:pPr>
        <w:pStyle w:val="49"/>
        <w:rPr>
          <w:rFonts w:hint="eastAsia"/>
          <w:color w:val="auto"/>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b/>
          <w:color w:val="auto"/>
          <w:kern w:val="0"/>
          <w:sz w:val="22"/>
          <w:szCs w:val="21"/>
          <w:highlight w:val="none"/>
        </w:rPr>
      </w:pPr>
    </w:p>
    <w:p>
      <w:pPr>
        <w:pageBreakBefore w:val="0"/>
        <w:kinsoku/>
        <w:wordWrap/>
        <w:overflowPunct/>
        <w:topLinePunct w:val="0"/>
        <w:bidi w:val="0"/>
        <w:spacing w:beforeAutospacing="0" w:afterAutospacing="0" w:line="240" w:lineRule="auto"/>
        <w:ind w:firstLine="442" w:firstLineChars="200"/>
        <w:jc w:val="left"/>
        <w:rPr>
          <w:rFonts w:hint="eastAsia" w:ascii="宋体" w:hAnsi="宋体" w:eastAsia="宋体" w:cs="宋体"/>
          <w:b/>
          <w:color w:val="auto"/>
          <w:kern w:val="0"/>
          <w:sz w:val="22"/>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协议书附件：</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附件1：承包人承揽工程项目一览表</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专用合同条款附件：</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附件2：发包人供应材料设备一览表</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附件3：工程质量保修书</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附件4：主要建设工程文件目录</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附件5：承包人用于本工程施工的机械设备表</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附件6：承包人主要施工管理人员表</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附件7：分包人主要施工管理人员表</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附件8：履约担保格式</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附件9：预付款担保格式</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附件10：支付担保格式</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附件11：暂估价一览表</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Style w:val="49"/>
        <w:rPr>
          <w:rFonts w:hint="eastAsia" w:ascii="宋体" w:hAnsi="宋体" w:eastAsia="宋体" w:cs="宋体"/>
          <w:color w:val="auto"/>
          <w:szCs w:val="21"/>
          <w:highlight w:val="none"/>
        </w:rPr>
      </w:pPr>
    </w:p>
    <w:p>
      <w:pPr>
        <w:pStyle w:val="49"/>
        <w:rPr>
          <w:rFonts w:hint="eastAsia" w:ascii="宋体" w:hAnsi="宋体" w:eastAsia="宋体" w:cs="宋体"/>
          <w:color w:val="auto"/>
          <w:szCs w:val="21"/>
          <w:highlight w:val="none"/>
        </w:rPr>
      </w:pPr>
    </w:p>
    <w:p>
      <w:pPr>
        <w:pStyle w:val="49"/>
        <w:rPr>
          <w:rFonts w:hint="eastAsia" w:ascii="宋体" w:hAnsi="宋体" w:eastAsia="宋体" w:cs="宋体"/>
          <w:color w:val="auto"/>
          <w:szCs w:val="21"/>
          <w:highlight w:val="none"/>
        </w:rPr>
      </w:pPr>
    </w:p>
    <w:p>
      <w:pPr>
        <w:pStyle w:val="49"/>
        <w:rPr>
          <w:rFonts w:hint="eastAsia" w:ascii="宋体" w:hAnsi="宋体" w:eastAsia="宋体" w:cs="宋体"/>
          <w:color w:val="auto"/>
          <w:szCs w:val="21"/>
          <w:highlight w:val="none"/>
        </w:rPr>
      </w:pPr>
    </w:p>
    <w:p>
      <w:pPr>
        <w:pStyle w:val="49"/>
        <w:ind w:left="0" w:leftChars="0" w:firstLine="0" w:firstLineChars="0"/>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w:t>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承包人承揽工程项目一览表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705"/>
        <w:gridCol w:w="1222"/>
        <w:gridCol w:w="707"/>
        <w:gridCol w:w="851"/>
        <w:gridCol w:w="1377"/>
        <w:gridCol w:w="943"/>
        <w:gridCol w:w="879"/>
        <w:gridCol w:w="1082"/>
        <w:gridCol w:w="10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leftChars="0" w:right="6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单位工程名称</w:t>
            </w:r>
          </w:p>
        </w:tc>
        <w:tc>
          <w:tcPr>
            <w:tcW w:w="1705"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leftChars="0" w:right="6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建设规模</w:t>
            </w:r>
          </w:p>
        </w:tc>
        <w:tc>
          <w:tcPr>
            <w:tcW w:w="1222"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leftChars="0" w:right="6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建筑面积(平方米)</w:t>
            </w:r>
          </w:p>
        </w:tc>
        <w:tc>
          <w:tcPr>
            <w:tcW w:w="707"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leftChars="0" w:right="6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结构形式</w:t>
            </w:r>
          </w:p>
        </w:tc>
        <w:tc>
          <w:tcPr>
            <w:tcW w:w="851"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leftChars="0" w:right="6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层数</w:t>
            </w:r>
          </w:p>
        </w:tc>
        <w:tc>
          <w:tcPr>
            <w:tcW w:w="1377"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leftChars="0" w:right="6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生产能力</w:t>
            </w:r>
          </w:p>
        </w:tc>
        <w:tc>
          <w:tcPr>
            <w:tcW w:w="943"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leftChars="0" w:right="6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设备安装内容</w:t>
            </w:r>
          </w:p>
        </w:tc>
        <w:tc>
          <w:tcPr>
            <w:tcW w:w="879"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leftChars="0" w:right="6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合同价格（元）</w:t>
            </w:r>
          </w:p>
        </w:tc>
        <w:tc>
          <w:tcPr>
            <w:tcW w:w="1082"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leftChars="0" w:right="6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开工日期</w:t>
            </w:r>
          </w:p>
        </w:tc>
        <w:tc>
          <w:tcPr>
            <w:tcW w:w="1085"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leftChars="0" w:right="63"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5"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22"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07"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77"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3"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79"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2"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5"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5"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22"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07"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77"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3"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79"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2"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5"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5"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2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0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7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3"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79"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5"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5"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2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0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7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3"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79"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5"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5"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2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0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7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3"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79"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5"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5"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2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0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7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3"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79"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5"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5"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2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0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7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3"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79"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5"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5"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2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0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7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3"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79"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5"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0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37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79"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5"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2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0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7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3"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79"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85"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0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37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79"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0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37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79"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0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37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79"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0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37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79"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0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37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3"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79"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5"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bl>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209" w:name="_Toc296891265"/>
      <w:bookmarkStart w:id="210" w:name="_Toc296503225"/>
      <w:bookmarkStart w:id="211" w:name="_Toc296891053"/>
      <w:bookmarkStart w:id="212" w:name="_Toc296944564"/>
      <w:bookmarkStart w:id="213" w:name="_Toc267261692"/>
      <w:bookmarkStart w:id="214" w:name="_Toc296347224"/>
      <w:bookmarkStart w:id="215" w:name="_Toc296346726"/>
      <w:r>
        <w:rPr>
          <w:rFonts w:hint="eastAsia" w:ascii="宋体" w:hAnsi="宋体" w:eastAsia="宋体" w:cs="宋体"/>
          <w:color w:val="auto"/>
          <w:szCs w:val="21"/>
          <w:highlight w:val="none"/>
        </w:rPr>
        <w:t>件2：</w:t>
      </w:r>
    </w:p>
    <w:bookmarkEnd w:id="209"/>
    <w:bookmarkEnd w:id="210"/>
    <w:bookmarkEnd w:id="211"/>
    <w:bookmarkEnd w:id="212"/>
    <w:bookmarkEnd w:id="213"/>
    <w:bookmarkEnd w:id="214"/>
    <w:bookmarkEnd w:id="215"/>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发包人供应材料设备一览表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76"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w:t>
            </w:r>
          </w:p>
          <w:p>
            <w:pPr>
              <w:pStyle w:val="10"/>
              <w:keepNext/>
              <w:keepLines w:val="0"/>
              <w:pageBreakBefore w:val="0"/>
              <w:suppressLineNumbers w:val="0"/>
              <w:kinsoku/>
              <w:wordWrap/>
              <w:overflowPunct/>
              <w:topLinePunct w:val="0"/>
              <w:bidi w:val="0"/>
              <w:spacing w:beforeAutospacing="0" w:after="0" w:afterLines="0" w:afterAutospacing="0" w:line="240" w:lineRule="auto"/>
              <w:ind w:left="0"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设备品种</w:t>
            </w:r>
          </w:p>
        </w:tc>
        <w:tc>
          <w:tcPr>
            <w:tcW w:w="1418"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940"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51"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044"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992"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质量等级</w:t>
            </w:r>
          </w:p>
        </w:tc>
        <w:tc>
          <w:tcPr>
            <w:tcW w:w="851"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供应时间</w:t>
            </w:r>
          </w:p>
        </w:tc>
        <w:tc>
          <w:tcPr>
            <w:tcW w:w="1487"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送达地点</w:t>
            </w:r>
          </w:p>
        </w:tc>
        <w:tc>
          <w:tcPr>
            <w:tcW w:w="992"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0"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44"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7"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51"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0"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44"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7"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4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4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4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4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4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4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6"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0"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44"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8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4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4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9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6"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0"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44"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8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6"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0"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44"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8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6"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0"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44"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8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6"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0"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44"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8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6"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18"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40"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44"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51"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87"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92" w:type="dxa"/>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bl>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216" w:name="_Toc296503226"/>
      <w:bookmarkStart w:id="217" w:name="_Toc267261693"/>
      <w:bookmarkStart w:id="218" w:name="_Toc296891266"/>
      <w:bookmarkStart w:id="219" w:name="_Toc296347225"/>
      <w:bookmarkStart w:id="220" w:name="_Toc296346727"/>
      <w:bookmarkStart w:id="221" w:name="_Toc296944565"/>
      <w:bookmarkStart w:id="222" w:name="_Toc296891054"/>
      <w:r>
        <w:rPr>
          <w:rFonts w:hint="eastAsia" w:ascii="宋体" w:hAnsi="宋体" w:eastAsia="宋体" w:cs="宋体"/>
          <w:color w:val="auto"/>
          <w:szCs w:val="21"/>
          <w:highlight w:val="none"/>
        </w:rPr>
        <w:t>件3：</w:t>
      </w:r>
      <w:bookmarkEnd w:id="216"/>
      <w:bookmarkEnd w:id="217"/>
      <w:bookmarkEnd w:id="218"/>
      <w:bookmarkEnd w:id="219"/>
      <w:bookmarkEnd w:id="220"/>
      <w:bookmarkEnd w:id="221"/>
      <w:bookmarkEnd w:id="222"/>
    </w:p>
    <w:p>
      <w:pPr>
        <w:pageBreakBefore w:val="0"/>
        <w:kinsoku/>
        <w:wordWrap/>
        <w:overflowPunct/>
        <w:topLinePunct w:val="0"/>
        <w:bidi w:val="0"/>
        <w:spacing w:before="156" w:beforeLines="50" w:after="156" w:after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（工程全称）签订工程质量保修书。</w:t>
      </w:r>
    </w:p>
    <w:p>
      <w:pPr>
        <w:pageBreakBefore w:val="0"/>
        <w:kinsoku/>
        <w:wordWrap/>
        <w:overflowPunct/>
        <w:topLinePunct w:val="0"/>
        <w:bidi w:val="0"/>
        <w:spacing w:line="24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bookmarkStart w:id="223" w:name="_Toc31580"/>
      <w:bookmarkStart w:id="224" w:name="_Toc6211"/>
      <w:bookmarkStart w:id="225" w:name="_Toc13923"/>
      <w:r>
        <w:rPr>
          <w:rFonts w:hint="eastAsia" w:ascii="宋体" w:hAnsi="宋体" w:eastAsia="宋体" w:cs="宋体"/>
          <w:color w:val="auto"/>
          <w:sz w:val="21"/>
          <w:szCs w:val="21"/>
          <w:highlight w:val="none"/>
        </w:rPr>
        <w:t>一、工程质量保修范围和内容</w:t>
      </w:r>
      <w:bookmarkEnd w:id="223"/>
      <w:bookmarkEnd w:id="224"/>
      <w:bookmarkEnd w:id="225"/>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承包人在质量保修期内，按照有关法律规定和合同约定，承担工程质量保修责任。</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outlineLv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w:t>
      </w:r>
      <w:bookmarkStart w:id="226" w:name="_Toc23961"/>
      <w:bookmarkStart w:id="227" w:name="_Toc11050"/>
      <w:bookmarkStart w:id="228" w:name="_Toc21489"/>
      <w:r>
        <w:rPr>
          <w:rFonts w:hint="eastAsia" w:ascii="宋体" w:hAnsi="宋体" w:eastAsia="宋体" w:cs="宋体"/>
          <w:color w:val="auto"/>
          <w:sz w:val="21"/>
          <w:szCs w:val="21"/>
          <w:highlight w:val="none"/>
        </w:rPr>
        <w:t>二、质量保修期</w:t>
      </w:r>
      <w:bookmarkEnd w:id="226"/>
      <w:bookmarkEnd w:id="227"/>
      <w:bookmarkEnd w:id="228"/>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2．屋面防水工程、有防水要求的卫生间、房间和外墙面的防渗为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pPr>
        <w:pageBreakBefore w:val="0"/>
        <w:kinsoku/>
        <w:wordWrap/>
        <w:overflowPunct/>
        <w:topLinePunct w:val="0"/>
        <w:bidi w:val="0"/>
        <w:spacing w:line="240" w:lineRule="auto"/>
        <w:ind w:left="420" w:leftChars="20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pPr>
        <w:pageBreakBefore w:val="0"/>
        <w:kinsoku/>
        <w:wordWrap/>
        <w:overflowPunct/>
        <w:topLinePunct w:val="0"/>
        <w:bidi w:val="0"/>
        <w:spacing w:line="240" w:lineRule="auto"/>
        <w:ind w:left="420" w:leftChars="20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pPr>
        <w:pageBreakBefore w:val="0"/>
        <w:kinsoku/>
        <w:wordWrap/>
        <w:overflowPunct/>
        <w:topLinePunct w:val="0"/>
        <w:bidi w:val="0"/>
        <w:spacing w:line="240" w:lineRule="auto"/>
        <w:ind w:left="420" w:leftChars="20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pPr>
        <w:pageBreakBefore w:val="0"/>
        <w:kinsoku/>
        <w:wordWrap/>
        <w:overflowPunct/>
        <w:topLinePunct w:val="0"/>
        <w:bidi w:val="0"/>
        <w:spacing w:line="240" w:lineRule="auto"/>
        <w:ind w:left="420" w:leftChars="20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pPr>
        <w:pageBreakBefore w:val="0"/>
        <w:kinsoku/>
        <w:wordWrap/>
        <w:overflowPunct/>
        <w:topLinePunct w:val="0"/>
        <w:bidi w:val="0"/>
        <w:spacing w:line="240" w:lineRule="auto"/>
        <w:ind w:left="420" w:leftChars="20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质量保修期自工程竣工验收合格之日起计算。</w:t>
      </w:r>
    </w:p>
    <w:p>
      <w:pPr>
        <w:pageBreakBefore w:val="0"/>
        <w:kinsoku/>
        <w:wordWrap/>
        <w:overflowPunct/>
        <w:topLinePunct w:val="0"/>
        <w:bidi w:val="0"/>
        <w:spacing w:line="240" w:lineRule="auto"/>
        <w:ind w:firstLine="420" w:firstLineChars="200"/>
        <w:outlineLvl w:val="0"/>
        <w:rPr>
          <w:rFonts w:hint="eastAsia" w:ascii="宋体" w:hAnsi="宋体" w:eastAsia="宋体" w:cs="宋体"/>
          <w:color w:val="auto"/>
          <w:sz w:val="21"/>
          <w:szCs w:val="21"/>
          <w:highlight w:val="none"/>
        </w:rPr>
      </w:pPr>
      <w:bookmarkStart w:id="229" w:name="_Toc4559"/>
      <w:bookmarkStart w:id="230" w:name="_Toc13430"/>
      <w:bookmarkStart w:id="231" w:name="_Toc2139"/>
      <w:r>
        <w:rPr>
          <w:rFonts w:hint="eastAsia" w:ascii="宋体" w:hAnsi="宋体" w:eastAsia="宋体" w:cs="宋体"/>
          <w:color w:val="auto"/>
          <w:sz w:val="21"/>
          <w:szCs w:val="21"/>
          <w:highlight w:val="none"/>
        </w:rPr>
        <w:t>三、缺陷责任期</w:t>
      </w:r>
      <w:bookmarkEnd w:id="229"/>
      <w:bookmarkEnd w:id="230"/>
      <w:bookmarkEnd w:id="231"/>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pPr>
        <w:pageBreakBefore w:val="0"/>
        <w:kinsoku/>
        <w:wordWrap/>
        <w:overflowPunct/>
        <w:topLinePunct w:val="0"/>
        <w:bidi w:val="0"/>
        <w:spacing w:line="24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232" w:name="_Toc11514"/>
      <w:bookmarkStart w:id="233" w:name="_Toc31780"/>
      <w:bookmarkStart w:id="234" w:name="_Toc28942"/>
      <w:r>
        <w:rPr>
          <w:rFonts w:hint="eastAsia" w:ascii="宋体" w:hAnsi="宋体" w:eastAsia="宋体" w:cs="宋体"/>
          <w:color w:val="auto"/>
          <w:sz w:val="21"/>
          <w:szCs w:val="21"/>
          <w:highlight w:val="none"/>
        </w:rPr>
        <w:t>四、质量保修责任</w:t>
      </w:r>
      <w:bookmarkEnd w:id="232"/>
      <w:bookmarkEnd w:id="233"/>
      <w:bookmarkEnd w:id="234"/>
    </w:p>
    <w:p>
      <w:pPr>
        <w:pageBreakBefore w:val="0"/>
        <w:kinsoku/>
        <w:wordWrap/>
        <w:overflowPunct/>
        <w:topLinePunct w:val="0"/>
        <w:bidi w:val="0"/>
        <w:spacing w:line="240" w:lineRule="auto"/>
        <w:ind w:left="105" w:leftChars="50" w:firstLine="430" w:firstLineChars="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pPr>
        <w:pageBreakBefore w:val="0"/>
        <w:kinsoku/>
        <w:wordWrap/>
        <w:overflowPunct/>
        <w:topLinePunct w:val="0"/>
        <w:bidi w:val="0"/>
        <w:spacing w:line="240" w:lineRule="auto"/>
        <w:ind w:left="105" w:leftChars="50" w:firstLine="430" w:firstLineChars="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pPr>
        <w:pageBreakBefore w:val="0"/>
        <w:kinsoku/>
        <w:wordWrap/>
        <w:overflowPunct/>
        <w:topLinePunct w:val="0"/>
        <w:bidi w:val="0"/>
        <w:spacing w:line="240" w:lineRule="auto"/>
        <w:ind w:left="105" w:leftChars="50" w:firstLine="430" w:firstLineChars="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ageBreakBefore w:val="0"/>
        <w:kinsoku/>
        <w:wordWrap/>
        <w:overflowPunct/>
        <w:topLinePunct w:val="0"/>
        <w:bidi w:val="0"/>
        <w:spacing w:line="240" w:lineRule="auto"/>
        <w:ind w:left="420" w:leftChars="20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pPr>
        <w:pageBreakBefore w:val="0"/>
        <w:kinsoku/>
        <w:wordWrap/>
        <w:overflowPunct/>
        <w:topLinePunct w:val="0"/>
        <w:bidi w:val="0"/>
        <w:spacing w:line="24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bookmarkStart w:id="235" w:name="_Toc2556"/>
      <w:bookmarkStart w:id="236" w:name="_Toc20699"/>
      <w:bookmarkStart w:id="237" w:name="_Toc23242"/>
      <w:r>
        <w:rPr>
          <w:rFonts w:hint="eastAsia" w:ascii="宋体" w:hAnsi="宋体" w:eastAsia="宋体" w:cs="宋体"/>
          <w:color w:val="auto"/>
          <w:sz w:val="21"/>
          <w:szCs w:val="21"/>
          <w:highlight w:val="none"/>
        </w:rPr>
        <w:t>五、保修费用</w:t>
      </w:r>
      <w:bookmarkEnd w:id="235"/>
      <w:bookmarkEnd w:id="236"/>
      <w:bookmarkEnd w:id="237"/>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保修费用由造成质量缺陷的责任方承担。</w:t>
      </w:r>
    </w:p>
    <w:p>
      <w:pPr>
        <w:pageBreakBefore w:val="0"/>
        <w:kinsoku/>
        <w:wordWrap/>
        <w:overflowPunct/>
        <w:topLinePunct w:val="0"/>
        <w:bidi w:val="0"/>
        <w:spacing w:line="240" w:lineRule="auto"/>
        <w:ind w:firstLine="422" w:firstLineChars="200"/>
        <w:jc w:val="left"/>
        <w:outlineLvl w:val="0"/>
        <w:rPr>
          <w:rFonts w:hint="eastAsia" w:ascii="宋体" w:hAnsi="宋体" w:eastAsia="宋体" w:cs="宋体"/>
          <w:color w:val="auto"/>
          <w:sz w:val="21"/>
          <w:szCs w:val="21"/>
          <w:highlight w:val="none"/>
          <w:u w:val="single"/>
        </w:rPr>
      </w:pPr>
      <w:bookmarkStart w:id="238" w:name="_Toc28329"/>
      <w:bookmarkStart w:id="239" w:name="_Toc22399"/>
      <w:bookmarkStart w:id="240" w:name="_Toc15511"/>
      <w:r>
        <w:rPr>
          <w:rFonts w:hint="eastAsia" w:ascii="宋体" w:hAnsi="宋体" w:eastAsia="宋体" w:cs="宋体"/>
          <w:b/>
          <w:color w:val="auto"/>
          <w:sz w:val="21"/>
          <w:szCs w:val="21"/>
          <w:highlight w:val="none"/>
        </w:rPr>
        <w:t>六</w:t>
      </w:r>
      <w:r>
        <w:rPr>
          <w:rFonts w:hint="eastAsia" w:ascii="宋体" w:hAnsi="宋体" w:eastAsia="宋体" w:cs="宋体"/>
          <w:color w:val="auto"/>
          <w:sz w:val="21"/>
          <w:szCs w:val="21"/>
          <w:highlight w:val="none"/>
        </w:rPr>
        <w:t>、双方约定的其他工程质量保修事项：</w:t>
      </w:r>
      <w:bookmarkEnd w:id="238"/>
      <w:bookmarkEnd w:id="239"/>
      <w:bookmarkEnd w:id="240"/>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pPr>
        <w:pageBreakBefore w:val="0"/>
        <w:kinsoku/>
        <w:wordWrap/>
        <w:overflowPunct/>
        <w:topLinePunct w:val="0"/>
        <w:bidi w:val="0"/>
        <w:spacing w:line="240" w:lineRule="auto"/>
        <w:ind w:firstLine="420"/>
        <w:rPr>
          <w:rFonts w:hint="eastAsia" w:ascii="宋体" w:hAnsi="宋体" w:eastAsia="宋体" w:cs="宋体"/>
          <w:color w:val="auto"/>
          <w:sz w:val="21"/>
          <w:szCs w:val="21"/>
          <w:highlight w:val="none"/>
        </w:rPr>
      </w:pP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法定代表人(签字)：</w:t>
      </w: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委托代理人(签字)：</w:t>
      </w: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beforeAutospacing="0" w:afterAutospacing="0"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附件4：</w:t>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主要建设工程文件目录</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文件名称</w:t>
            </w:r>
          </w:p>
        </w:tc>
        <w:tc>
          <w:tcPr>
            <w:tcW w:w="1276"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套数</w:t>
            </w:r>
          </w:p>
        </w:tc>
        <w:tc>
          <w:tcPr>
            <w:tcW w:w="1450"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费用（元）</w:t>
            </w:r>
          </w:p>
        </w:tc>
        <w:tc>
          <w:tcPr>
            <w:tcW w:w="1243"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w:t>
            </w:r>
          </w:p>
        </w:tc>
        <w:tc>
          <w:tcPr>
            <w:tcW w:w="1450" w:type="dxa"/>
            <w:tcBorders>
              <w:top w:val="single" w:color="auto" w:sz="12" w:space="0"/>
              <w:bottom w:val="double" w:color="auto" w:sz="6"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移交时间</w:t>
            </w:r>
          </w:p>
        </w:tc>
        <w:tc>
          <w:tcPr>
            <w:tcW w:w="1667" w:type="dxa"/>
            <w:tcBorders>
              <w:top w:val="single" w:color="auto" w:sz="12" w:space="0"/>
              <w:bottom w:val="double" w:color="auto" w:sz="6"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43"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667"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43"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667"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43"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66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43"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66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43"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66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43"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66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43"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66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43"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66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76"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4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667"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76"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243"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5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667"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76"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4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667"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76"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4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667"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76"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4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667"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76"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4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667"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76"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4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667"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76"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243"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667"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bl>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241" w:name="_Toc296346728"/>
      <w:bookmarkStart w:id="242" w:name="_Toc296503227"/>
      <w:bookmarkStart w:id="243" w:name="_Toc296891267"/>
      <w:bookmarkStart w:id="244" w:name="_Toc296944566"/>
      <w:bookmarkStart w:id="245" w:name="_Toc267261698"/>
      <w:bookmarkStart w:id="246" w:name="_Toc296347226"/>
      <w:bookmarkStart w:id="247" w:name="_Toc296891055"/>
      <w:r>
        <w:rPr>
          <w:rFonts w:hint="eastAsia" w:ascii="宋体" w:hAnsi="宋体" w:eastAsia="宋体" w:cs="宋体"/>
          <w:color w:val="auto"/>
          <w:szCs w:val="21"/>
          <w:highlight w:val="none"/>
        </w:rPr>
        <w:t>件5：</w:t>
      </w:r>
    </w:p>
    <w:bookmarkEnd w:id="241"/>
    <w:bookmarkEnd w:id="242"/>
    <w:bookmarkEnd w:id="243"/>
    <w:bookmarkEnd w:id="244"/>
    <w:bookmarkEnd w:id="245"/>
    <w:bookmarkEnd w:id="246"/>
    <w:bookmarkEnd w:id="247"/>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承包人用于本工程施工的机械设备表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18"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058"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80"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1020"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制造年份</w:t>
            </w:r>
          </w:p>
        </w:tc>
        <w:tc>
          <w:tcPr>
            <w:tcW w:w="1480"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生产能力</w:t>
            </w:r>
          </w:p>
        </w:tc>
        <w:tc>
          <w:tcPr>
            <w:tcW w:w="921"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1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5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921"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1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5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921"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1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5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921"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1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5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921"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1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5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921"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1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5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58"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8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48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1020"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c>
          <w:tcPr>
            <w:tcW w:w="921"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Cs w:val="21"/>
                <w:highlight w:val="none"/>
              </w:rPr>
            </w:pPr>
          </w:p>
        </w:tc>
      </w:tr>
    </w:tbl>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248" w:name="_Toc267261699"/>
      <w:bookmarkStart w:id="249" w:name="_Toc296891056"/>
      <w:bookmarkStart w:id="250" w:name="_Toc296891268"/>
      <w:bookmarkStart w:id="251" w:name="_Toc296347227"/>
      <w:bookmarkStart w:id="252" w:name="_Toc296944567"/>
      <w:bookmarkStart w:id="253" w:name="_Toc296503228"/>
      <w:bookmarkStart w:id="254" w:name="_Toc296346729"/>
      <w:r>
        <w:rPr>
          <w:rFonts w:hint="eastAsia" w:ascii="宋体" w:hAnsi="宋体" w:eastAsia="宋体" w:cs="宋体"/>
          <w:color w:val="auto"/>
          <w:szCs w:val="21"/>
          <w:highlight w:val="none"/>
        </w:rPr>
        <w:t>件6：</w:t>
      </w:r>
    </w:p>
    <w:bookmarkEnd w:id="248"/>
    <w:bookmarkEnd w:id="249"/>
    <w:bookmarkEnd w:id="250"/>
    <w:bookmarkEnd w:id="251"/>
    <w:bookmarkEnd w:id="252"/>
    <w:bookmarkEnd w:id="253"/>
    <w:bookmarkEnd w:id="254"/>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承包人主要施工管理人员表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418"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34"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134"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4252"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项目主管</w:t>
            </w:r>
          </w:p>
        </w:tc>
        <w:tc>
          <w:tcPr>
            <w:tcW w:w="1418"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项目副经理</w:t>
            </w: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造价管理</w:t>
            </w: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质量管理</w:t>
            </w: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材料管理</w:t>
            </w: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计划管理</w:t>
            </w: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w:t>
            </w: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restart"/>
            <w:tcBorders>
              <w:top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continue"/>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bottom w:val="single" w:color="auto" w:sz="12"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bottom w:val="single" w:color="auto" w:sz="12"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bottom w:val="single" w:color="auto" w:sz="12"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tcBorders>
              <w:bottom w:val="single" w:color="auto" w:sz="12"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bl>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255" w:name="_Toc296944568"/>
      <w:bookmarkStart w:id="256" w:name="_Toc296347228"/>
      <w:bookmarkStart w:id="257" w:name="_Toc296346730"/>
      <w:bookmarkStart w:id="258" w:name="_Toc296891057"/>
      <w:bookmarkStart w:id="259" w:name="_Toc296891269"/>
      <w:bookmarkStart w:id="260" w:name="_Toc296503229"/>
      <w:r>
        <w:rPr>
          <w:rFonts w:hint="eastAsia" w:ascii="宋体" w:hAnsi="宋体" w:eastAsia="宋体" w:cs="宋体"/>
          <w:color w:val="auto"/>
          <w:szCs w:val="21"/>
          <w:highlight w:val="none"/>
        </w:rPr>
        <w:t>件7：</w:t>
      </w:r>
    </w:p>
    <w:bookmarkEnd w:id="255"/>
    <w:bookmarkEnd w:id="256"/>
    <w:bookmarkEnd w:id="257"/>
    <w:bookmarkEnd w:id="258"/>
    <w:bookmarkEnd w:id="259"/>
    <w:bookmarkEnd w:id="260"/>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分包人主要施工管理人员表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418"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34"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134"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4252" w:type="dxa"/>
            <w:tcBorders>
              <w:top w:val="single" w:color="auto" w:sz="12" w:space="0"/>
              <w:bottom w:val="doub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项目主管</w:t>
            </w:r>
          </w:p>
        </w:tc>
        <w:tc>
          <w:tcPr>
            <w:tcW w:w="1418"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tcBorders>
              <w:top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项目副经理</w:t>
            </w: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造价管理</w:t>
            </w: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质量管理</w:t>
            </w: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材料管理</w:t>
            </w: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计划管理</w:t>
            </w: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w:t>
            </w: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restart"/>
            <w:tcBorders>
              <w:top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1418"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continue"/>
            <w:tcBorders>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tcBorders>
              <w:bottom w:val="single" w:color="auto" w:sz="6" w:space="0"/>
            </w:tcBorders>
            <w:noWrap w:val="0"/>
            <w:vAlign w:val="center"/>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bl>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bookmarkStart w:id="261" w:name="_Toc267261701"/>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262" w:name="_Toc296891059"/>
      <w:bookmarkStart w:id="263" w:name="_Toc296347230"/>
      <w:bookmarkStart w:id="264" w:name="_Toc296891271"/>
      <w:bookmarkStart w:id="265" w:name="_Toc296346732"/>
      <w:bookmarkStart w:id="266" w:name="_Toc296944570"/>
      <w:bookmarkStart w:id="267" w:name="_Toc296503231"/>
      <w:r>
        <w:rPr>
          <w:rFonts w:hint="eastAsia" w:ascii="宋体" w:hAnsi="宋体" w:eastAsia="宋体" w:cs="宋体"/>
          <w:color w:val="auto"/>
          <w:szCs w:val="21"/>
          <w:highlight w:val="none"/>
        </w:rPr>
        <w:t>件8：</w:t>
      </w:r>
    </w:p>
    <w:bookmarkEnd w:id="261"/>
    <w:bookmarkEnd w:id="262"/>
    <w:bookmarkEnd w:id="263"/>
    <w:bookmarkEnd w:id="264"/>
    <w:bookmarkEnd w:id="265"/>
    <w:bookmarkEnd w:id="266"/>
    <w:bookmarkEnd w:id="267"/>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（发包人名称）：</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发包人名称，以下简称“发包人”）与（承包人名称）（以下称“承包人”）于年月日就（工程名称）施工及有关事项协商一致共同签订《建设工程施工合同》。我方愿意无条件地、不可撤销地就承包人履行与你方签订的合同，向你方提供连带责任担保。</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1.担保金额人民币（大写）</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2.担保有效期自你方与承包人签订的合同生效之日起至你方签发或应签发工程接收证书之日止。</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3.在本担保有效期内，因承包人违反合同约定的义务给你方造成经济损失时，我方在收到你方以书面形式提出的在担保金额内的赔偿要求后，在7天内无条件支付。</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4.你方和承包人按合同约定变更合同时，我方承担本担保规定的义务不变。</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5.因本保函发生的纠纷，可由双方协商解决，协商不成的，任何一方均可提请仲裁委员会仲裁。</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6.本保函自我方法定代表人（或其</w:t>
      </w:r>
      <w:r>
        <w:rPr>
          <w:rFonts w:hint="eastAsia" w:ascii="宋体" w:hAnsi="宋体" w:eastAsia="宋体" w:cs="宋体"/>
          <w:color w:val="auto"/>
          <w:szCs w:val="21"/>
          <w:highlight w:val="none"/>
          <w:lang w:val="en-US" w:eastAsia="zh-CN"/>
        </w:rPr>
        <w:t>委托</w:t>
      </w:r>
      <w:r>
        <w:rPr>
          <w:rFonts w:hint="eastAsia" w:ascii="宋体" w:hAnsi="宋体" w:eastAsia="宋体" w:cs="宋体"/>
          <w:color w:val="auto"/>
          <w:szCs w:val="21"/>
          <w:highlight w:val="none"/>
        </w:rPr>
        <w:t>代理人）签字并加盖公章之日起生效。</w:t>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担保人：（盖单位章）</w:t>
      </w:r>
    </w:p>
    <w:p>
      <w:pPr>
        <w:pageBreakBefore w:val="0"/>
        <w:kinsoku/>
        <w:wordWrap/>
        <w:overflowPunct/>
        <w:topLinePunct w:val="0"/>
        <w:bidi w:val="0"/>
        <w:spacing w:beforeAutospacing="0" w:afterAutospacing="0" w:line="24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法定代表人或其委托代理人：（签字）</w:t>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地址：</w:t>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邮政编码：</w:t>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电话：</w:t>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传真：</w:t>
      </w:r>
    </w:p>
    <w:p>
      <w:pPr>
        <w:pageBreakBefore w:val="0"/>
        <w:kinsoku/>
        <w:wordWrap/>
        <w:overflowPunct/>
        <w:topLinePunct w:val="0"/>
        <w:bidi w:val="0"/>
        <w:spacing w:beforeAutospacing="0" w:afterAutospacing="0" w:line="240" w:lineRule="auto"/>
        <w:ind w:left="1329" w:hanging="1329" w:hangingChars="63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268" w:name="_Toc296891060"/>
      <w:bookmarkStart w:id="269" w:name="_Toc267261702"/>
      <w:bookmarkStart w:id="270" w:name="_Toc296891272"/>
      <w:bookmarkStart w:id="271" w:name="_Toc296346733"/>
      <w:bookmarkStart w:id="272" w:name="_Toc296944571"/>
      <w:bookmarkStart w:id="273" w:name="_Toc296347231"/>
      <w:bookmarkStart w:id="274" w:name="_Toc296503232"/>
      <w:r>
        <w:rPr>
          <w:rFonts w:hint="eastAsia" w:ascii="宋体" w:hAnsi="宋体" w:eastAsia="宋体" w:cs="宋体"/>
          <w:color w:val="auto"/>
          <w:szCs w:val="21"/>
          <w:highlight w:val="none"/>
        </w:rPr>
        <w:t>件9：</w:t>
      </w:r>
    </w:p>
    <w:bookmarkEnd w:id="268"/>
    <w:bookmarkEnd w:id="269"/>
    <w:bookmarkEnd w:id="270"/>
    <w:bookmarkEnd w:id="271"/>
    <w:bookmarkEnd w:id="272"/>
    <w:bookmarkEnd w:id="273"/>
    <w:bookmarkEnd w:id="274"/>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w:t>
      </w: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（发包人名称）：</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根据（承包人名称）（以下称“承包人”）与（发包人名称）（以下简称“发包人”）</w:t>
      </w: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日签订的（工程名称）《建设工程施工合同》，承包人按约定的金额向你方提交一份预付款担保，即有权得到你方支付相等金额的预付款。我方愿意就你方提供给承包人的预付款为承包人提供连带责任担保。</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1.担保金额人民币（大写）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2.担保有效期自预付款支付给承包人起生效，至你方签发的进度款支付证书说明已完全扣清止。</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4.你方和承包人按合同约定变更合同时，我方承担本保函规定的义务不变。</w:t>
      </w:r>
    </w:p>
    <w:p>
      <w:pPr>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5.因本保函发生的纠纷，可由双方协商解决，协商不成的，任何一方均可</w:t>
      </w:r>
      <w:r>
        <w:rPr>
          <w:rFonts w:hint="eastAsia" w:ascii="宋体" w:hAnsi="宋体" w:cs="宋体"/>
          <w:color w:val="auto"/>
          <w:szCs w:val="21"/>
          <w:highlight w:val="none"/>
          <w:u w:val="single"/>
        </w:rPr>
        <w:t>工程所在地有管辖权的</w:t>
      </w:r>
      <w:r>
        <w:rPr>
          <w:rFonts w:hint="eastAsia" w:ascii="宋体" w:hAnsi="宋体" w:cs="宋体"/>
          <w:color w:val="auto"/>
          <w:szCs w:val="21"/>
          <w:highlight w:val="none"/>
        </w:rPr>
        <w:t>人民法院起诉。</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6.本保函自我方法定代表人（或其</w:t>
      </w:r>
      <w:r>
        <w:rPr>
          <w:rFonts w:hint="eastAsia" w:ascii="宋体" w:hAnsi="宋体" w:eastAsia="宋体" w:cs="宋体"/>
          <w:color w:val="auto"/>
          <w:szCs w:val="21"/>
          <w:highlight w:val="none"/>
          <w:lang w:val="en-US" w:eastAsia="zh-CN"/>
        </w:rPr>
        <w:t>委托</w:t>
      </w:r>
      <w:r>
        <w:rPr>
          <w:rFonts w:hint="eastAsia" w:ascii="宋体" w:hAnsi="宋体" w:eastAsia="宋体" w:cs="宋体"/>
          <w:color w:val="auto"/>
          <w:szCs w:val="21"/>
          <w:highlight w:val="none"/>
        </w:rPr>
        <w:t>代理人）签字并加盖公章之日起生效。</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担保人：（盖单位章）</w:t>
      </w:r>
    </w:p>
    <w:p>
      <w:pPr>
        <w:pageBreakBefore w:val="0"/>
        <w:kinsoku/>
        <w:wordWrap/>
        <w:overflowPunct/>
        <w:topLinePunct w:val="0"/>
        <w:bidi w:val="0"/>
        <w:spacing w:beforeAutospacing="0" w:afterAutospacing="0" w:line="24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法定代表人或其委托代理人：（签字）</w:t>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ab/>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pPr>
        <w:pageBreakBefore w:val="0"/>
        <w:kinsoku/>
        <w:wordWrap/>
        <w:overflowPunct/>
        <w:topLinePunct w:val="0"/>
        <w:bidi w:val="0"/>
        <w:spacing w:beforeAutospacing="0" w:afterAutospacing="0" w:line="24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275" w:name="_Toc296944572"/>
      <w:bookmarkStart w:id="276" w:name="_Toc296891061"/>
      <w:bookmarkStart w:id="277" w:name="_Toc296503233"/>
      <w:bookmarkStart w:id="278" w:name="_Toc296891273"/>
      <w:bookmarkStart w:id="279" w:name="_Toc296347232"/>
      <w:bookmarkStart w:id="280" w:name="_Toc296346734"/>
      <w:r>
        <w:rPr>
          <w:rFonts w:hint="eastAsia" w:ascii="宋体" w:hAnsi="宋体" w:eastAsia="宋体" w:cs="宋体"/>
          <w:color w:val="auto"/>
          <w:szCs w:val="21"/>
          <w:highlight w:val="none"/>
        </w:rPr>
        <w:t>件10:</w:t>
      </w:r>
    </w:p>
    <w:bookmarkEnd w:id="275"/>
    <w:bookmarkEnd w:id="276"/>
    <w:bookmarkEnd w:id="277"/>
    <w:bookmarkEnd w:id="278"/>
    <w:bookmarkEnd w:id="279"/>
    <w:bookmarkEnd w:id="280"/>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鉴于你方作为承包人已经与（发包人名称）（以下称“发包人”）于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日签订了（工程名称）《建设工程施工合同》（以下称“主合同”），应发包人的申请，我方愿就发包人履行主合同约定的工程款支付义务以保证的方式向你方提供如下担保：</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一、保证的范围及保证金额</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1.我方的保证范围是主合同约定的工程款。</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2.本保函所称主合同约定的工程款是指主合同约定的除工程质量保证金以外的合同价款。</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3.我方保证的金额是主合同约定的工程款的</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%，数额最高不超过人民币</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二、保证的方式及保证期间</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1.我方保证的方式为：连带责任保证。</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2.我方保证的期间为：自本合同生效之日起至主合同约定的工程款支付完毕之日后日内。</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3.你方与发包人协议变更工程款支付日期的，经我方书面同意后，保证期间按照变更后的支付日期做相应调整。</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三、承担保证责任的形式</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我方承担保证责任的形式是代为支付。发包人未按主合同约定向你方支付工程款的，由我方在保证金额内代为支付。</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四、代偿的安排</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1.你方要求我方承担保证责任的，应向我方发出书面索赔通知及发包人未支付主合同约定工程款的证明材料。索赔通知应写明要求索赔的金额，支付款项应到达的账号。</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2.在出现你方与发包人因工程质量发生争议，发包人拒绝向你方支付工程款的情形时，你方要求我方履行保证责任代为支付的，需提供符合相应条件要求的工程质量检测机构出具的质量说明材料。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3.我方收到你方的书面索赔通知及相应的证明材料后７天内无条件支付。</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五、保证责任的解除</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1.在本保函承诺的保证期间内，你方未书面向我方主张保证责任的，自保证期间届满次日起，我方保证责任解除。</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2.发包人按主合同约定履行了工程款的全部支付义务的，自本保函承诺的保证期间届满次日起，我方保证责任解除。</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3.我方按照本保函向你方履行保证责任所支付金额达到本保函保证金额时，自我方向你方支付（支付款项从我方账户划出）之日起，保证责任即解除。</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4.按照法律法规的规定或出现应解除我方保证责任的其他情形的，我方在本保函项下的保证责任亦解除。</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5.我方解除保证责任后，你方应自我方保证责任解除之日起个工作日内，将本保函原件</w:t>
      </w:r>
      <w:r>
        <w:rPr>
          <w:rFonts w:hint="eastAsia" w:ascii="宋体" w:hAnsi="宋体" w:eastAsia="宋体" w:cs="宋体"/>
          <w:color w:val="auto"/>
          <w:szCs w:val="21"/>
          <w:highlight w:val="none"/>
          <w:lang w:eastAsia="zh-CN"/>
        </w:rPr>
        <w:t>退还</w:t>
      </w:r>
      <w:r>
        <w:rPr>
          <w:rFonts w:hint="eastAsia" w:ascii="宋体" w:hAnsi="宋体" w:eastAsia="宋体" w:cs="宋体"/>
          <w:color w:val="auto"/>
          <w:szCs w:val="21"/>
          <w:highlight w:val="none"/>
        </w:rPr>
        <w:t>我方。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六、免责条款</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1.因你方违约致使发包人不能履行义务的，我方不承担保证责任。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2.依照法律法规的规定或你方与发包人的另行约定，免除发包人部分或全部义务的，我方亦免除其相应的保证责任。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3.你方与发包人协议变更主合同的，如加重发包人责任致使我方保证责任加重的，需征得我方书面同意，否则我方不再承担因此而加重部分的保证责任，但主合同第10条〔变更〕约定的变更不受本款限制。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4.因不可抗力造成发包人不能履行义务的，我方不承担保证责任。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七、争议解决</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因本保函或本保函相关事项发生的纠纷，可由双方协商解决，协商不成的，按下列第</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种方式解决：</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仲裁委员会申请仲裁；</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人民法院起诉。</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八、保函的生效</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本保函自我方法定代表人（或其</w:t>
      </w:r>
      <w:r>
        <w:rPr>
          <w:rFonts w:hint="eastAsia" w:ascii="宋体" w:hAnsi="宋体" w:eastAsia="宋体" w:cs="宋体"/>
          <w:color w:val="auto"/>
          <w:szCs w:val="21"/>
          <w:highlight w:val="none"/>
          <w:lang w:val="en-US" w:eastAsia="zh-CN"/>
        </w:rPr>
        <w:t>委托</w:t>
      </w:r>
      <w:r>
        <w:rPr>
          <w:rFonts w:hint="eastAsia" w:ascii="宋体" w:hAnsi="宋体" w:eastAsia="宋体" w:cs="宋体"/>
          <w:color w:val="auto"/>
          <w:szCs w:val="21"/>
          <w:highlight w:val="none"/>
        </w:rPr>
        <w:t>代理人）签字并加盖公章之日起生效。</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60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担保人：（盖章）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20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法定代表人或委托代理人：（签字）</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地址：</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邮政编码：</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传真：</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150" w:firstLine="420" w:firstLineChars="200"/>
        <w:jc w:val="center"/>
        <w:textAlignment w:val="auto"/>
        <w:outlineLvl w:val="9"/>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附件11：</w:t>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11-1：材料暂估价表</w:t>
      </w:r>
    </w:p>
    <w:tbl>
      <w:tblPr>
        <w:tblStyle w:val="31"/>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84" w:type="dxa"/>
            <w:tcBorders>
              <w:top w:val="single" w:color="auto" w:sz="12" w:space="0"/>
              <w:bottom w:val="doub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851" w:type="dxa"/>
            <w:tcBorders>
              <w:top w:val="single" w:color="auto" w:sz="12" w:space="0"/>
              <w:bottom w:val="doub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774" w:type="dxa"/>
            <w:tcBorders>
              <w:top w:val="single" w:color="auto" w:sz="12" w:space="0"/>
              <w:bottom w:val="doub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352" w:type="dxa"/>
            <w:tcBorders>
              <w:top w:val="single" w:color="auto" w:sz="12" w:space="0"/>
              <w:bottom w:val="doub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1418" w:type="dxa"/>
            <w:tcBorders>
              <w:top w:val="single" w:color="auto" w:sz="12" w:space="0"/>
              <w:bottom w:val="doub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合价（元）</w:t>
            </w:r>
          </w:p>
        </w:tc>
        <w:tc>
          <w:tcPr>
            <w:tcW w:w="1701" w:type="dxa"/>
            <w:tcBorders>
              <w:top w:val="single" w:color="auto" w:sz="12" w:space="0"/>
              <w:bottom w:val="doub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tcBorders>
              <w:top w:val="double" w:color="auto" w:sz="6" w:space="0"/>
              <w:bottom w:val="sing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double" w:color="auto" w:sz="6" w:space="0"/>
              <w:bottom w:val="sing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tcBorders>
              <w:top w:val="double" w:color="auto" w:sz="6" w:space="0"/>
              <w:bottom w:val="sing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tcBorders>
              <w:top w:val="double" w:color="auto" w:sz="6" w:space="0"/>
              <w:bottom w:val="sing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double" w:color="auto" w:sz="6" w:space="0"/>
              <w:bottom w:val="sing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tcBorders>
              <w:top w:val="double" w:color="auto" w:sz="6" w:space="0"/>
              <w:bottom w:val="sing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tcBorders>
              <w:top w:val="nil"/>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nil"/>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tcBorders>
              <w:top w:val="nil"/>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tcBorders>
              <w:top w:val="nil"/>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nil"/>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tcBorders>
              <w:top w:val="nil"/>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bl>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11-2：工程设备暂估价表</w:t>
      </w:r>
    </w:p>
    <w:tbl>
      <w:tblPr>
        <w:tblStyle w:val="31"/>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84" w:type="dxa"/>
            <w:tcBorders>
              <w:top w:val="single" w:color="auto" w:sz="12" w:space="0"/>
              <w:bottom w:val="doub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851" w:type="dxa"/>
            <w:tcBorders>
              <w:top w:val="single" w:color="auto" w:sz="12" w:space="0"/>
              <w:bottom w:val="doub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774" w:type="dxa"/>
            <w:tcBorders>
              <w:top w:val="single" w:color="auto" w:sz="12" w:space="0"/>
              <w:bottom w:val="doub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352" w:type="dxa"/>
            <w:tcBorders>
              <w:top w:val="single" w:color="auto" w:sz="12" w:space="0"/>
              <w:bottom w:val="doub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1418" w:type="dxa"/>
            <w:tcBorders>
              <w:top w:val="single" w:color="auto" w:sz="12" w:space="0"/>
              <w:bottom w:val="doub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合价（元）</w:t>
            </w:r>
          </w:p>
        </w:tc>
        <w:tc>
          <w:tcPr>
            <w:tcW w:w="1701" w:type="dxa"/>
            <w:tcBorders>
              <w:top w:val="single" w:color="auto" w:sz="12" w:space="0"/>
              <w:bottom w:val="doub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tcBorders>
              <w:top w:val="double" w:color="auto" w:sz="6" w:space="0"/>
              <w:bottom w:val="sing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double" w:color="auto" w:sz="6" w:space="0"/>
              <w:bottom w:val="sing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tcBorders>
              <w:top w:val="double" w:color="auto" w:sz="6" w:space="0"/>
              <w:bottom w:val="sing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tcBorders>
              <w:top w:val="double" w:color="auto" w:sz="6" w:space="0"/>
              <w:bottom w:val="sing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double" w:color="auto" w:sz="6" w:space="0"/>
              <w:bottom w:val="sing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tcBorders>
              <w:top w:val="double" w:color="auto" w:sz="6" w:space="0"/>
              <w:bottom w:val="sing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tcBorders>
              <w:top w:val="nil"/>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nil"/>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tcBorders>
              <w:top w:val="nil"/>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tcBorders>
              <w:top w:val="nil"/>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nil"/>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tcBorders>
              <w:top w:val="nil"/>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bl>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11-3：专业工程暂估价表</w:t>
      </w:r>
    </w:p>
    <w:tbl>
      <w:tblPr>
        <w:tblStyle w:val="31"/>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84" w:type="dxa"/>
            <w:tcBorders>
              <w:top w:val="single" w:color="auto" w:sz="12" w:space="0"/>
              <w:bottom w:val="doub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851" w:type="dxa"/>
            <w:tcBorders>
              <w:top w:val="single" w:color="auto" w:sz="12" w:space="0"/>
              <w:bottom w:val="doub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774" w:type="dxa"/>
            <w:tcBorders>
              <w:top w:val="single" w:color="auto" w:sz="12" w:space="0"/>
              <w:bottom w:val="doub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352" w:type="dxa"/>
            <w:tcBorders>
              <w:top w:val="single" w:color="auto" w:sz="12" w:space="0"/>
              <w:bottom w:val="doub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1418" w:type="dxa"/>
            <w:tcBorders>
              <w:top w:val="single" w:color="auto" w:sz="12" w:space="0"/>
              <w:bottom w:val="doub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合价（元）</w:t>
            </w:r>
          </w:p>
        </w:tc>
        <w:tc>
          <w:tcPr>
            <w:tcW w:w="1701" w:type="dxa"/>
            <w:tcBorders>
              <w:top w:val="single" w:color="auto" w:sz="12" w:space="0"/>
              <w:bottom w:val="double" w:color="auto" w:sz="6" w:space="0"/>
            </w:tcBorders>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0"/>
              <w:keepNext/>
              <w:keepLines w:val="0"/>
              <w:pageBreakBefore w:val="0"/>
              <w:suppressLineNumbers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bl>
    <w:p>
      <w:pPr>
        <w:pageBreakBefore w:val="0"/>
        <w:kinsoku/>
        <w:wordWrap/>
        <w:overflowPunct/>
        <w:topLinePunct w:val="0"/>
        <w:bidi w:val="0"/>
        <w:adjustRightInd w:val="0"/>
        <w:snapToGrid w:val="0"/>
        <w:spacing w:before="54" w:beforeLines="20" w:after="54" w:afterLines="20" w:line="240" w:lineRule="auto"/>
        <w:rPr>
          <w:rFonts w:hint="eastAsia" w:ascii="宋体" w:hAnsi="宋体" w:eastAsia="宋体" w:cs="宋体"/>
          <w:color w:val="auto"/>
          <w:sz w:val="36"/>
          <w:highlight w:val="none"/>
        </w:rPr>
      </w:pPr>
    </w:p>
    <w:p>
      <w:pPr>
        <w:pStyle w:val="3"/>
        <w:pageBreakBefore w:val="0"/>
        <w:numPr>
          <w:ilvl w:val="0"/>
          <w:numId w:val="0"/>
        </w:numPr>
        <w:kinsoku/>
        <w:wordWrap/>
        <w:overflowPunct/>
        <w:topLinePunct w:val="0"/>
        <w:bidi w:val="0"/>
        <w:spacing w:before="135" w:beforeLines="50" w:after="135" w:afterLines="50" w:line="240" w:lineRule="auto"/>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3"/>
        <w:pageBreakBefore w:val="0"/>
        <w:numPr>
          <w:ilvl w:val="0"/>
          <w:numId w:val="0"/>
        </w:numPr>
        <w:kinsoku/>
        <w:wordWrap/>
        <w:overflowPunct/>
        <w:topLinePunct w:val="0"/>
        <w:bidi w:val="0"/>
        <w:spacing w:before="135" w:beforeLines="50" w:after="135" w:afterLines="50" w:line="240" w:lineRule="auto"/>
        <w:jc w:val="both"/>
        <w:rPr>
          <w:rFonts w:hint="eastAsia" w:ascii="宋体" w:hAnsi="宋体" w:eastAsia="宋体" w:cs="宋体"/>
          <w:b/>
          <w:color w:val="auto"/>
          <w:sz w:val="36"/>
          <w:szCs w:val="36"/>
          <w:highlight w:val="none"/>
        </w:rPr>
      </w:pPr>
    </w:p>
    <w:p>
      <w:pPr>
        <w:rPr>
          <w:rFonts w:hint="eastAsia"/>
          <w:color w:val="auto"/>
          <w:highlight w:val="none"/>
        </w:rPr>
      </w:pP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pStyle w:val="3"/>
        <w:rPr>
          <w:rFonts w:ascii="宋体" w:hAnsi="宋体" w:cs="宋体"/>
          <w:color w:val="auto"/>
          <w:highlight w:val="none"/>
        </w:rPr>
      </w:pPr>
      <w:bookmarkStart w:id="281" w:name="_Toc26873"/>
      <w:bookmarkStart w:id="282" w:name="_Toc31967"/>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章   谈判响应文件格式</w:t>
      </w:r>
      <w:bookmarkEnd w:id="281"/>
      <w:bookmarkEnd w:id="282"/>
    </w:p>
    <w:p>
      <w:pPr>
        <w:spacing w:line="360" w:lineRule="auto"/>
        <w:jc w:val="center"/>
        <w:rPr>
          <w:rFonts w:ascii="宋体" w:hAnsi="宋体" w:cs="宋体"/>
          <w:b/>
          <w:color w:val="auto"/>
          <w:spacing w:val="20"/>
          <w:sz w:val="36"/>
          <w:szCs w:val="36"/>
          <w:highlight w:val="none"/>
          <w:u w:val="single"/>
        </w:rPr>
      </w:pPr>
    </w:p>
    <w:p>
      <w:pPr>
        <w:pStyle w:val="4"/>
        <w:pageBreakBefore w:val="0"/>
        <w:kinsoku/>
        <w:wordWrap/>
        <w:overflowPunct/>
        <w:topLinePunct w:val="0"/>
        <w:bidi w:val="0"/>
        <w:spacing w:before="0" w:after="0" w:line="240" w:lineRule="auto"/>
        <w:rPr>
          <w:rFonts w:hint="eastAsia" w:ascii="宋体" w:hAnsi="宋体" w:eastAsia="宋体" w:cs="宋体"/>
          <w:color w:val="auto"/>
          <w:sz w:val="32"/>
          <w:szCs w:val="32"/>
          <w:highlight w:val="none"/>
        </w:rPr>
      </w:pPr>
      <w:bookmarkStart w:id="283" w:name="_Toc208106839"/>
      <w:bookmarkStart w:id="284" w:name="_Toc17710"/>
      <w:bookmarkStart w:id="285" w:name="_Toc171743122"/>
      <w:r>
        <w:rPr>
          <w:rFonts w:hint="eastAsia" w:ascii="宋体" w:hAnsi="宋体" w:eastAsia="宋体" w:cs="宋体"/>
          <w:color w:val="auto"/>
          <w:sz w:val="32"/>
          <w:szCs w:val="32"/>
          <w:highlight w:val="none"/>
          <w:lang w:val="en-US" w:eastAsia="zh-CN"/>
        </w:rPr>
        <w:t xml:space="preserve">  </w:t>
      </w:r>
      <w:bookmarkStart w:id="286" w:name="_Toc17935"/>
      <w:bookmarkStart w:id="287" w:name="_Toc20368"/>
      <w:r>
        <w:rPr>
          <w:rFonts w:hint="eastAsia" w:ascii="宋体" w:hAnsi="宋体" w:eastAsia="宋体" w:cs="宋体"/>
          <w:color w:val="auto"/>
          <w:sz w:val="32"/>
          <w:szCs w:val="32"/>
          <w:highlight w:val="none"/>
        </w:rPr>
        <w:t>商务标</w:t>
      </w:r>
      <w:bookmarkEnd w:id="283"/>
      <w:bookmarkEnd w:id="284"/>
      <w:bookmarkEnd w:id="285"/>
      <w:bookmarkEnd w:id="286"/>
      <w:bookmarkEnd w:id="287"/>
    </w:p>
    <w:p>
      <w:pPr>
        <w:pageBreakBefore w:val="0"/>
        <w:kinsoku/>
        <w:wordWrap/>
        <w:overflowPunct/>
        <w:topLinePunct w:val="0"/>
        <w:bidi w:val="0"/>
        <w:adjustRightInd w:val="0"/>
        <w:snapToGrid w:val="0"/>
        <w:spacing w:before="54" w:beforeLines="20" w:after="54" w:afterLines="20" w:line="240" w:lineRule="auto"/>
        <w:rPr>
          <w:rFonts w:hint="eastAsia" w:ascii="宋体" w:hAnsi="宋体" w:eastAsia="宋体" w:cs="宋体"/>
          <w:color w:val="auto"/>
          <w:sz w:val="36"/>
          <w:highlight w:val="none"/>
        </w:rPr>
      </w:pPr>
    </w:p>
    <w:p>
      <w:pPr>
        <w:pageBreakBefore w:val="0"/>
        <w:kinsoku/>
        <w:wordWrap/>
        <w:overflowPunct/>
        <w:topLinePunct w:val="0"/>
        <w:bidi w:val="0"/>
        <w:adjustRightInd w:val="0"/>
        <w:snapToGrid w:val="0"/>
        <w:spacing w:before="54" w:beforeLines="20" w:after="54" w:afterLines="20" w:line="240" w:lineRule="auto"/>
        <w:rPr>
          <w:rFonts w:hint="eastAsia" w:ascii="宋体" w:hAnsi="宋体" w:eastAsia="宋体" w:cs="宋体"/>
          <w:color w:val="auto"/>
          <w:sz w:val="24"/>
          <w:highlight w:val="none"/>
          <w:u w:val="singl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w:t>
      </w:r>
    </w:p>
    <w:p>
      <w:pPr>
        <w:pStyle w:val="11"/>
        <w:pageBreakBefore w:val="0"/>
        <w:kinsoku/>
        <w:wordWrap/>
        <w:overflowPunct/>
        <w:topLinePunct w:val="0"/>
        <w:bidi w:val="0"/>
        <w:adjustRightInd w:val="0"/>
        <w:snapToGrid w:val="0"/>
        <w:spacing w:before="54" w:beforeLines="20" w:after="54" w:afterLines="20" w:line="240" w:lineRule="auto"/>
        <w:ind w:left="0" w:leftChars="0"/>
        <w:rPr>
          <w:rFonts w:hint="eastAsia" w:ascii="宋体" w:hAnsi="宋体" w:eastAsia="宋体" w:cs="宋体"/>
          <w:b/>
          <w:color w:val="auto"/>
          <w:highlight w:val="none"/>
        </w:rPr>
      </w:pPr>
    </w:p>
    <w:p>
      <w:pPr>
        <w:pStyle w:val="11"/>
        <w:pageBreakBefore w:val="0"/>
        <w:kinsoku/>
        <w:wordWrap/>
        <w:overflowPunct/>
        <w:topLinePunct w:val="0"/>
        <w:bidi w:val="0"/>
        <w:adjustRightInd w:val="0"/>
        <w:snapToGrid w:val="0"/>
        <w:spacing w:before="54" w:beforeLines="20" w:after="54" w:afterLines="20" w:line="240" w:lineRule="auto"/>
        <w:ind w:left="0" w:leftChars="0"/>
        <w:rPr>
          <w:rFonts w:hint="eastAsia" w:ascii="宋体" w:hAnsi="宋体" w:eastAsia="宋体" w:cs="宋体"/>
          <w:b/>
          <w:color w:val="auto"/>
          <w:sz w:val="52"/>
          <w:highlight w:val="none"/>
        </w:rPr>
      </w:pPr>
    </w:p>
    <w:p>
      <w:pPr>
        <w:pStyle w:val="10"/>
        <w:pageBreakBefore w:val="0"/>
        <w:kinsoku/>
        <w:wordWrap/>
        <w:overflowPunct/>
        <w:topLinePunct w:val="0"/>
        <w:bidi w:val="0"/>
        <w:adjustRightInd w:val="0"/>
        <w:snapToGrid w:val="0"/>
        <w:spacing w:before="54" w:beforeLines="20" w:after="54" w:afterLines="20" w:line="240" w:lineRule="auto"/>
        <w:jc w:val="center"/>
        <w:rPr>
          <w:rFonts w:hint="eastAsia" w:ascii="宋体" w:hAnsi="宋体" w:eastAsia="宋体" w:cs="宋体"/>
          <w:color w:val="auto"/>
          <w:sz w:val="84"/>
          <w:highlight w:val="none"/>
        </w:rPr>
      </w:pPr>
      <w:r>
        <w:rPr>
          <w:rFonts w:hint="eastAsia" w:cs="宋体"/>
          <w:color w:val="auto"/>
          <w:sz w:val="52"/>
          <w:highlight w:val="none"/>
          <w:lang w:val="en-US" w:eastAsia="zh-CN"/>
        </w:rPr>
        <w:t>谈  判  响  应</w:t>
      </w:r>
      <w:r>
        <w:rPr>
          <w:rFonts w:hint="eastAsia" w:ascii="宋体" w:hAnsi="宋体" w:eastAsia="宋体" w:cs="宋体"/>
          <w:color w:val="auto"/>
          <w:sz w:val="52"/>
          <w:highlight w:val="none"/>
        </w:rPr>
        <w:t xml:space="preserve">  文  件</w:t>
      </w:r>
    </w:p>
    <w:p>
      <w:pPr>
        <w:pStyle w:val="10"/>
        <w:pageBreakBefore w:val="0"/>
        <w:kinsoku/>
        <w:wordWrap/>
        <w:overflowPunct/>
        <w:topLinePunct w:val="0"/>
        <w:bidi w:val="0"/>
        <w:adjustRightInd w:val="0"/>
        <w:snapToGrid w:val="0"/>
        <w:spacing w:before="54" w:beforeLines="20" w:after="54" w:afterLines="20" w:line="24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项目编号</w:t>
      </w:r>
      <w:r>
        <w:rPr>
          <w:rFonts w:hint="eastAsia" w:ascii="宋体" w:hAnsi="宋体" w:eastAsia="宋体" w:cs="宋体"/>
          <w:color w:val="auto"/>
          <w:sz w:val="32"/>
          <w:szCs w:val="32"/>
          <w:highlight w:val="none"/>
        </w:rPr>
        <w:t>：</w:t>
      </w:r>
    </w:p>
    <w:p>
      <w:pPr>
        <w:pStyle w:val="10"/>
        <w:pageBreakBefore w:val="0"/>
        <w:kinsoku/>
        <w:wordWrap/>
        <w:overflowPunct/>
        <w:topLinePunct w:val="0"/>
        <w:bidi w:val="0"/>
        <w:adjustRightInd w:val="0"/>
        <w:snapToGrid w:val="0"/>
        <w:spacing w:before="54" w:beforeLines="20" w:after="54" w:afterLines="20" w:line="240" w:lineRule="auto"/>
        <w:jc w:val="center"/>
        <w:rPr>
          <w:rFonts w:hint="eastAsia" w:ascii="宋体" w:hAnsi="宋体" w:eastAsia="宋体" w:cs="宋体"/>
          <w:color w:val="auto"/>
          <w:highlight w:val="none"/>
        </w:rPr>
      </w:pPr>
    </w:p>
    <w:p>
      <w:pPr>
        <w:pStyle w:val="10"/>
        <w:pageBreakBefore w:val="0"/>
        <w:kinsoku/>
        <w:wordWrap/>
        <w:overflowPunct/>
        <w:topLinePunct w:val="0"/>
        <w:bidi w:val="0"/>
        <w:adjustRightInd w:val="0"/>
        <w:snapToGrid w:val="0"/>
        <w:spacing w:before="54" w:beforeLines="20" w:after="54" w:afterLines="20" w:line="240" w:lineRule="auto"/>
        <w:jc w:val="center"/>
        <w:rPr>
          <w:rFonts w:hint="eastAsia" w:ascii="宋体" w:hAnsi="宋体" w:eastAsia="宋体" w:cs="宋体"/>
          <w:color w:val="auto"/>
          <w:highlight w:val="none"/>
        </w:rPr>
      </w:pPr>
    </w:p>
    <w:p>
      <w:pPr>
        <w:pStyle w:val="10"/>
        <w:pageBreakBefore w:val="0"/>
        <w:kinsoku/>
        <w:wordWrap/>
        <w:overflowPunct/>
        <w:topLinePunct w:val="0"/>
        <w:bidi w:val="0"/>
        <w:adjustRightInd w:val="0"/>
        <w:snapToGrid w:val="0"/>
        <w:spacing w:before="54" w:beforeLines="20" w:after="54" w:afterLines="20" w:line="240" w:lineRule="auto"/>
        <w:jc w:val="center"/>
        <w:rPr>
          <w:rFonts w:hint="eastAsia" w:ascii="宋体" w:hAnsi="宋体" w:eastAsia="宋体" w:cs="宋体"/>
          <w:color w:val="auto"/>
          <w:highlight w:val="none"/>
        </w:rPr>
      </w:pPr>
    </w:p>
    <w:p>
      <w:pPr>
        <w:pStyle w:val="10"/>
        <w:pageBreakBefore w:val="0"/>
        <w:kinsoku/>
        <w:wordWrap/>
        <w:overflowPunct/>
        <w:topLinePunct w:val="0"/>
        <w:bidi w:val="0"/>
        <w:adjustRightInd w:val="0"/>
        <w:snapToGrid w:val="0"/>
        <w:spacing w:before="54" w:beforeLines="20" w:after="54" w:afterLines="20" w:line="240" w:lineRule="auto"/>
        <w:jc w:val="center"/>
        <w:rPr>
          <w:rFonts w:hint="eastAsia" w:ascii="宋体" w:hAnsi="宋体" w:eastAsia="宋体" w:cs="宋体"/>
          <w:color w:val="auto"/>
          <w:highlight w:val="none"/>
        </w:rPr>
      </w:pPr>
    </w:p>
    <w:p>
      <w:pPr>
        <w:pStyle w:val="10"/>
        <w:pageBreakBefore w:val="0"/>
        <w:kinsoku/>
        <w:wordWrap/>
        <w:overflowPunct/>
        <w:topLinePunct w:val="0"/>
        <w:bidi w:val="0"/>
        <w:adjustRightInd w:val="0"/>
        <w:snapToGrid w:val="0"/>
        <w:spacing w:before="54" w:beforeLines="20" w:after="54" w:afterLines="20" w:line="240" w:lineRule="auto"/>
        <w:jc w:val="center"/>
        <w:rPr>
          <w:rFonts w:hint="eastAsia" w:ascii="宋体" w:hAnsi="宋体" w:eastAsia="宋体" w:cs="宋体"/>
          <w:color w:val="auto"/>
          <w:highlight w:val="none"/>
        </w:rPr>
      </w:pPr>
    </w:p>
    <w:p>
      <w:pPr>
        <w:pStyle w:val="10"/>
        <w:pageBreakBefore w:val="0"/>
        <w:kinsoku/>
        <w:wordWrap/>
        <w:overflowPunct/>
        <w:topLinePunct w:val="0"/>
        <w:bidi w:val="0"/>
        <w:adjustRightInd w:val="0"/>
        <w:snapToGrid w:val="0"/>
        <w:spacing w:before="54" w:beforeLines="20" w:after="54" w:afterLines="20" w:line="240" w:lineRule="auto"/>
        <w:jc w:val="center"/>
        <w:rPr>
          <w:rFonts w:hint="eastAsia" w:ascii="宋体" w:hAnsi="宋体" w:eastAsia="宋体" w:cs="宋体"/>
          <w:color w:val="auto"/>
          <w:highlight w:val="none"/>
        </w:rPr>
      </w:pPr>
    </w:p>
    <w:p>
      <w:pPr>
        <w:pStyle w:val="10"/>
        <w:pageBreakBefore w:val="0"/>
        <w:kinsoku/>
        <w:wordWrap/>
        <w:overflowPunct/>
        <w:topLinePunct w:val="0"/>
        <w:bidi w:val="0"/>
        <w:adjustRightInd w:val="0"/>
        <w:snapToGrid w:val="0"/>
        <w:spacing w:before="54" w:beforeLines="20" w:after="54" w:afterLines="20" w:line="240" w:lineRule="auto"/>
        <w:jc w:val="center"/>
        <w:rPr>
          <w:rFonts w:hint="eastAsia" w:ascii="宋体" w:hAnsi="宋体" w:eastAsia="宋体" w:cs="宋体"/>
          <w:color w:val="auto"/>
          <w:highlight w:val="none"/>
        </w:rPr>
      </w:pPr>
    </w:p>
    <w:p>
      <w:pPr>
        <w:pStyle w:val="10"/>
        <w:pageBreakBefore w:val="0"/>
        <w:kinsoku/>
        <w:wordWrap/>
        <w:overflowPunct/>
        <w:topLinePunct w:val="0"/>
        <w:bidi w:val="0"/>
        <w:adjustRightInd w:val="0"/>
        <w:snapToGrid w:val="0"/>
        <w:spacing w:before="54" w:beforeLines="20" w:after="54" w:afterLines="20" w:line="240" w:lineRule="auto"/>
        <w:jc w:val="center"/>
        <w:rPr>
          <w:rFonts w:hint="eastAsia" w:ascii="宋体" w:hAnsi="宋体" w:eastAsia="宋体" w:cs="宋体"/>
          <w:color w:val="auto"/>
          <w:highlight w:val="none"/>
        </w:rPr>
      </w:pPr>
    </w:p>
    <w:p>
      <w:pPr>
        <w:pStyle w:val="13"/>
        <w:pageBreakBefore w:val="0"/>
        <w:kinsoku/>
        <w:wordWrap/>
        <w:overflowPunct/>
        <w:topLinePunct w:val="0"/>
        <w:bidi w:val="0"/>
        <w:adjustRightInd w:val="0"/>
        <w:snapToGrid w:val="0"/>
        <w:spacing w:before="54" w:beforeLines="20" w:after="54" w:afterLines="20" w:line="240" w:lineRule="auto"/>
        <w:ind w:left="0" w:leftChars="0" w:firstLine="1205" w:firstLineChars="500"/>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项目名称：</w:t>
      </w:r>
      <w:r>
        <w:rPr>
          <w:rFonts w:hint="eastAsia" w:ascii="宋体" w:hAnsi="宋体" w:eastAsia="宋体" w:cs="宋体"/>
          <w:b/>
          <w:bCs/>
          <w:color w:val="auto"/>
          <w:sz w:val="24"/>
          <w:highlight w:val="none"/>
          <w:u w:val="single"/>
        </w:rPr>
        <w:t xml:space="preserve">                                              </w:t>
      </w:r>
    </w:p>
    <w:p>
      <w:pPr>
        <w:pStyle w:val="13"/>
        <w:pageBreakBefore w:val="0"/>
        <w:kinsoku/>
        <w:wordWrap/>
        <w:overflowPunct/>
        <w:topLinePunct w:val="0"/>
        <w:bidi w:val="0"/>
        <w:adjustRightInd w:val="0"/>
        <w:snapToGrid w:val="0"/>
        <w:spacing w:before="54" w:beforeLines="20" w:after="54" w:afterLines="20" w:line="240" w:lineRule="auto"/>
        <w:ind w:left="0" w:leftChars="0" w:firstLine="1205" w:firstLineChars="500"/>
        <w:rPr>
          <w:rFonts w:hint="eastAsia" w:ascii="宋体" w:hAnsi="宋体" w:eastAsia="宋体" w:cs="宋体"/>
          <w:b/>
          <w:bCs/>
          <w:color w:val="auto"/>
          <w:sz w:val="24"/>
          <w:highlight w:val="none"/>
        </w:rPr>
      </w:pPr>
      <w:r>
        <w:rPr>
          <w:rFonts w:hint="eastAsia" w:ascii="宋体" w:hAnsi="宋体" w:cs="宋体"/>
          <w:b/>
          <w:bCs/>
          <w:color w:val="auto"/>
          <w:sz w:val="24"/>
          <w:highlight w:val="none"/>
          <w:lang w:eastAsia="zh-CN"/>
        </w:rPr>
        <w:t>谈判响应文件</w:t>
      </w:r>
      <w:r>
        <w:rPr>
          <w:rFonts w:hint="eastAsia" w:ascii="宋体" w:hAnsi="宋体" w:eastAsia="宋体" w:cs="宋体"/>
          <w:b/>
          <w:bCs/>
          <w:color w:val="auto"/>
          <w:sz w:val="24"/>
          <w:highlight w:val="none"/>
        </w:rPr>
        <w:t>内容：</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rPr>
        <w:tab/>
      </w:r>
      <w:r>
        <w:rPr>
          <w:rFonts w:hint="eastAsia" w:ascii="宋体" w:hAnsi="宋体" w:eastAsia="宋体" w:cs="宋体"/>
          <w:b/>
          <w:bCs/>
          <w:color w:val="auto"/>
          <w:sz w:val="24"/>
          <w:highlight w:val="none"/>
          <w:u w:val="single"/>
        </w:rPr>
        <w:t xml:space="preserve">      </w:t>
      </w:r>
      <w:r>
        <w:rPr>
          <w:rFonts w:hint="eastAsia" w:ascii="宋体" w:hAnsi="宋体" w:cs="宋体"/>
          <w:b/>
          <w:bCs/>
          <w:color w:val="auto"/>
          <w:sz w:val="24"/>
          <w:highlight w:val="none"/>
          <w:u w:val="single"/>
          <w:lang w:eastAsia="zh-CN"/>
        </w:rPr>
        <w:t>谈判响应文件</w:t>
      </w:r>
      <w:r>
        <w:rPr>
          <w:rFonts w:hint="eastAsia" w:ascii="宋体" w:hAnsi="宋体" w:eastAsia="宋体" w:cs="宋体"/>
          <w:b/>
          <w:bCs/>
          <w:color w:val="auto"/>
          <w:sz w:val="24"/>
          <w:highlight w:val="none"/>
          <w:u w:val="single"/>
        </w:rPr>
        <w:t>商务标</w:t>
      </w:r>
      <w:r>
        <w:rPr>
          <w:rFonts w:hint="eastAsia" w:ascii="宋体" w:hAnsi="宋体" w:eastAsia="宋体" w:cs="宋体"/>
          <w:b/>
          <w:bCs/>
          <w:color w:val="auto"/>
          <w:sz w:val="24"/>
          <w:highlight w:val="none"/>
          <w:u w:val="single"/>
        </w:rPr>
        <w:tab/>
      </w:r>
      <w:r>
        <w:rPr>
          <w:rFonts w:hint="eastAsia" w:ascii="宋体" w:hAnsi="宋体" w:eastAsia="宋体" w:cs="宋体"/>
          <w:b/>
          <w:bCs/>
          <w:color w:val="auto"/>
          <w:sz w:val="24"/>
          <w:highlight w:val="none"/>
          <w:u w:val="single"/>
        </w:rPr>
        <w:tab/>
      </w:r>
      <w:r>
        <w:rPr>
          <w:rFonts w:hint="eastAsia" w:ascii="宋体" w:hAnsi="宋体" w:eastAsia="宋体" w:cs="宋体"/>
          <w:b/>
          <w:bCs/>
          <w:color w:val="auto"/>
          <w:sz w:val="24"/>
          <w:highlight w:val="none"/>
          <w:u w:val="single"/>
        </w:rPr>
        <w:t xml:space="preserve">          </w:t>
      </w:r>
    </w:p>
    <w:p>
      <w:pPr>
        <w:pStyle w:val="13"/>
        <w:pageBreakBefore w:val="0"/>
        <w:kinsoku/>
        <w:wordWrap/>
        <w:overflowPunct/>
        <w:topLinePunct w:val="0"/>
        <w:bidi w:val="0"/>
        <w:adjustRightInd w:val="0"/>
        <w:snapToGrid w:val="0"/>
        <w:spacing w:before="54" w:beforeLines="20" w:after="54" w:afterLines="20" w:line="240" w:lineRule="auto"/>
        <w:ind w:left="0" w:leftChars="0" w:firstLine="1205" w:firstLineChars="500"/>
        <w:rPr>
          <w:rFonts w:hint="eastAsia" w:ascii="宋体" w:hAnsi="宋体" w:eastAsia="宋体" w:cs="宋体"/>
          <w:b/>
          <w:bCs/>
          <w:color w:val="auto"/>
          <w:sz w:val="24"/>
          <w:highlight w:val="none"/>
          <w:u w:val="single"/>
        </w:rPr>
      </w:pPr>
      <w:r>
        <w:rPr>
          <w:rFonts w:hint="eastAsia" w:ascii="宋体" w:hAnsi="宋体" w:cs="宋体"/>
          <w:b/>
          <w:bCs/>
          <w:color w:val="auto"/>
          <w:sz w:val="24"/>
          <w:highlight w:val="none"/>
          <w:lang w:val="en-US" w:eastAsia="zh-CN"/>
        </w:rPr>
        <w:t>谈判响应人</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u w:val="single"/>
        </w:rPr>
        <w:t xml:space="preserve">                （盖公章）                    </w:t>
      </w:r>
    </w:p>
    <w:p>
      <w:pPr>
        <w:pStyle w:val="13"/>
        <w:pageBreakBefore w:val="0"/>
        <w:kinsoku/>
        <w:wordWrap/>
        <w:overflowPunct/>
        <w:topLinePunct w:val="0"/>
        <w:bidi w:val="0"/>
        <w:adjustRightInd w:val="0"/>
        <w:snapToGrid w:val="0"/>
        <w:spacing w:before="54" w:beforeLines="20" w:after="54" w:afterLines="20" w:line="240" w:lineRule="auto"/>
        <w:ind w:left="0" w:leftChars="0" w:firstLine="1205" w:firstLineChars="500"/>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法定代表人或其委托代理人：</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eastAsia="zh-CN"/>
        </w:rPr>
        <w:t>签字或</w:t>
      </w:r>
      <w:r>
        <w:rPr>
          <w:rFonts w:hint="eastAsia" w:ascii="宋体" w:hAnsi="宋体" w:eastAsia="宋体" w:cs="宋体"/>
          <w:b/>
          <w:bCs/>
          <w:color w:val="auto"/>
          <w:sz w:val="24"/>
          <w:highlight w:val="none"/>
          <w:u w:val="single"/>
        </w:rPr>
        <w:t xml:space="preserve">盖章）          </w:t>
      </w:r>
    </w:p>
    <w:p>
      <w:pPr>
        <w:pageBreakBefore w:val="0"/>
        <w:kinsoku/>
        <w:wordWrap/>
        <w:overflowPunct/>
        <w:topLinePunct w:val="0"/>
        <w:bidi w:val="0"/>
        <w:adjustRightInd w:val="0"/>
        <w:snapToGrid w:val="0"/>
        <w:spacing w:before="54" w:beforeLines="20" w:after="54" w:afterLines="20" w:line="240" w:lineRule="auto"/>
        <w:rPr>
          <w:rFonts w:hint="eastAsia" w:ascii="宋体" w:hAnsi="宋体" w:eastAsia="宋体" w:cs="宋体"/>
          <w:b/>
          <w:color w:val="auto"/>
          <w:sz w:val="28"/>
          <w:highlight w:val="none"/>
        </w:rPr>
      </w:pPr>
    </w:p>
    <w:p>
      <w:pPr>
        <w:pageBreakBefore w:val="0"/>
        <w:kinsoku/>
        <w:wordWrap/>
        <w:overflowPunct/>
        <w:topLinePunct w:val="0"/>
        <w:bidi w:val="0"/>
        <w:adjustRightInd w:val="0"/>
        <w:snapToGrid w:val="0"/>
        <w:spacing w:before="54" w:beforeLines="20" w:after="54" w:afterLines="20" w:line="240" w:lineRule="auto"/>
        <w:jc w:val="center"/>
        <w:rPr>
          <w:rFonts w:hint="eastAsia" w:ascii="宋体" w:hAnsi="宋体" w:eastAsia="宋体" w:cs="宋体"/>
          <w:b/>
          <w:color w:val="auto"/>
          <w:sz w:val="30"/>
          <w:highlight w:val="none"/>
        </w:rPr>
      </w:pPr>
      <w:r>
        <w:rPr>
          <w:rFonts w:hint="eastAsia" w:ascii="宋体" w:hAnsi="宋体" w:eastAsia="宋体" w:cs="宋体"/>
          <w:b/>
          <w:color w:val="auto"/>
          <w:sz w:val="24"/>
          <w:highlight w:val="none"/>
        </w:rPr>
        <w:t>日  期：</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 xml:space="preserve"> 年</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 xml:space="preserve"> 月</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日</w:t>
      </w: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b/>
          <w:bCs/>
          <w:color w:val="auto"/>
          <w:sz w:val="32"/>
          <w:szCs w:val="32"/>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b/>
          <w:bCs/>
          <w:color w:val="auto"/>
          <w:sz w:val="32"/>
          <w:szCs w:val="32"/>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b/>
          <w:bCs/>
          <w:color w:val="auto"/>
          <w:sz w:val="32"/>
          <w:szCs w:val="32"/>
          <w:highlight w:val="none"/>
          <w:lang w:eastAsia="zh-CN"/>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b/>
          <w:bCs/>
          <w:color w:val="auto"/>
          <w:sz w:val="32"/>
          <w:szCs w:val="32"/>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b/>
          <w:bCs/>
          <w:color w:val="auto"/>
          <w:sz w:val="32"/>
          <w:szCs w:val="32"/>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eastAsia="宋体" w:cs="宋体"/>
          <w:b/>
          <w:bCs/>
          <w:color w:val="auto"/>
          <w:sz w:val="32"/>
          <w:szCs w:val="32"/>
          <w:highlight w:val="none"/>
        </w:rPr>
        <w:t>、</w:t>
      </w:r>
      <w:r>
        <w:rPr>
          <w:rFonts w:hint="eastAsia" w:hAnsi="宋体" w:cs="宋体"/>
          <w:b/>
          <w:bCs/>
          <w:color w:val="auto"/>
          <w:sz w:val="32"/>
          <w:szCs w:val="32"/>
          <w:highlight w:val="none"/>
          <w:lang w:eastAsia="zh-CN"/>
        </w:rPr>
        <w:t>谈判响应函</w:t>
      </w:r>
    </w:p>
    <w:p>
      <w:pPr>
        <w:keepNext w:val="0"/>
        <w:keepLines w:val="0"/>
        <w:pageBreakBefore w:val="0"/>
        <w:widowControl w:val="0"/>
        <w:kinsoku/>
        <w:wordWrap/>
        <w:overflowPunct/>
        <w:topLinePunct w:val="0"/>
        <w:bidi w:val="0"/>
        <w:adjustRightInd w:val="0"/>
        <w:snapToGrid w:val="0"/>
        <w:spacing w:line="240" w:lineRule="auto"/>
        <w:textAlignment w:val="auto"/>
        <w:outlineLvl w:val="9"/>
        <w:rPr>
          <w:rFonts w:hint="eastAsia" w:ascii="宋体" w:hAnsi="宋体" w:eastAsia="宋体" w:cs="宋体"/>
          <w:color w:val="auto"/>
          <w:szCs w:val="21"/>
          <w:highlight w:val="none"/>
          <w:u w:val="single"/>
        </w:rPr>
      </w:pPr>
      <w:bookmarkStart w:id="288" w:name="_Toc208106840"/>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采购人</w:t>
      </w:r>
      <w:r>
        <w:rPr>
          <w:rFonts w:hint="eastAsia" w:ascii="宋体" w:hAnsi="宋体" w:eastAsia="宋体" w:cs="宋体"/>
          <w:color w:val="auto"/>
          <w:szCs w:val="21"/>
          <w:highlight w:val="none"/>
          <w:u w:val="single"/>
        </w:rPr>
        <w:t xml:space="preserve">名称}   </w:t>
      </w:r>
    </w:p>
    <w:p>
      <w:pPr>
        <w:keepNext w:val="0"/>
        <w:keepLines w:val="0"/>
        <w:pageBreakBefore w:val="0"/>
        <w:widowControl w:val="0"/>
        <w:numPr>
          <w:ilvl w:val="0"/>
          <w:numId w:val="0"/>
        </w:numPr>
        <w:tabs>
          <w:tab w:val="left" w:pos="7560"/>
        </w:tabs>
        <w:kinsoku/>
        <w:wordWrap/>
        <w:overflowPunct/>
        <w:topLinePunct w:val="0"/>
        <w:bidi w:val="0"/>
        <w:adjustRightInd w:val="0"/>
        <w:snapToGrid w:val="0"/>
        <w:spacing w:line="240" w:lineRule="auto"/>
        <w:ind w:firstLine="420" w:firstLineChars="200"/>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根据你方招标工程</w:t>
      </w:r>
      <w:r>
        <w:rPr>
          <w:rFonts w:hint="eastAsia" w:ascii="宋体" w:hAnsi="宋体" w:eastAsia="宋体" w:cs="宋体"/>
          <w:color w:val="auto"/>
          <w:szCs w:val="21"/>
          <w:highlight w:val="none"/>
          <w:lang w:eastAsia="zh-CN"/>
        </w:rPr>
        <w:t>项目编号</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项目</w:t>
      </w:r>
      <w:r>
        <w:rPr>
          <w:rFonts w:hint="eastAsia" w:ascii="宋体" w:hAnsi="宋体" w:eastAsia="宋体" w:cs="宋体"/>
          <w:color w:val="auto"/>
          <w:szCs w:val="21"/>
          <w:highlight w:val="none"/>
          <w:u w:val="single"/>
        </w:rPr>
        <w:t xml:space="preserve">编号}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{招标工程项目名称}  </w:t>
      </w:r>
      <w:r>
        <w:rPr>
          <w:rFonts w:hint="eastAsia" w:ascii="宋体" w:hAnsi="宋体" w:cs="宋体"/>
          <w:color w:val="auto"/>
          <w:szCs w:val="21"/>
          <w:highlight w:val="none"/>
          <w:lang w:eastAsia="zh-CN"/>
        </w:rPr>
        <w:t>竞争性谈判文件</w:t>
      </w:r>
      <w:r>
        <w:rPr>
          <w:rFonts w:hint="eastAsia" w:ascii="宋体" w:hAnsi="宋体" w:eastAsia="宋体" w:cs="宋体"/>
          <w:color w:val="auto"/>
          <w:szCs w:val="21"/>
          <w:highlight w:val="none"/>
        </w:rPr>
        <w:t>，遵照《中华人民共和国招标投标法》等有关规定，经踏勘项目现场和研究上述</w:t>
      </w:r>
      <w:r>
        <w:rPr>
          <w:rFonts w:hint="eastAsia" w:ascii="宋体" w:hAnsi="宋体" w:cs="宋体"/>
          <w:color w:val="auto"/>
          <w:szCs w:val="21"/>
          <w:highlight w:val="none"/>
          <w:lang w:eastAsia="zh-CN"/>
        </w:rPr>
        <w:t>竞争性谈判文件</w:t>
      </w:r>
      <w:r>
        <w:rPr>
          <w:rFonts w:hint="eastAsia" w:ascii="宋体" w:hAnsi="宋体" w:eastAsia="宋体" w:cs="宋体"/>
          <w:color w:val="auto"/>
          <w:szCs w:val="21"/>
          <w:highlight w:val="none"/>
        </w:rPr>
        <w:t>的投标须知、合同条款、</w:t>
      </w:r>
      <w:r>
        <w:rPr>
          <w:rFonts w:hint="eastAsia" w:ascii="宋体" w:hAnsi="宋体" w:eastAsia="宋体" w:cs="宋体"/>
          <w:color w:val="auto"/>
          <w:szCs w:val="21"/>
          <w:highlight w:val="none"/>
          <w:lang w:eastAsia="zh-CN"/>
        </w:rPr>
        <w:t>施工图设计文件</w:t>
      </w:r>
      <w:r>
        <w:rPr>
          <w:rFonts w:hint="eastAsia" w:ascii="宋体" w:hAnsi="宋体" w:eastAsia="宋体" w:cs="宋体"/>
          <w:color w:val="auto"/>
          <w:szCs w:val="21"/>
          <w:highlight w:val="none"/>
        </w:rPr>
        <w:t>和工程建设技术标准及其他有关文件后，我方接受上述文件要求，并对工程量清单及</w:t>
      </w:r>
      <w:r>
        <w:rPr>
          <w:rFonts w:hint="eastAsia" w:ascii="宋体" w:hAnsi="宋体" w:cs="宋体"/>
          <w:color w:val="auto"/>
          <w:szCs w:val="21"/>
          <w:highlight w:val="none"/>
          <w:lang w:eastAsia="zh-CN"/>
        </w:rPr>
        <w:t>最高谈判限价</w:t>
      </w:r>
      <w:r>
        <w:rPr>
          <w:rFonts w:hint="eastAsia" w:ascii="宋体" w:hAnsi="宋体" w:eastAsia="宋体" w:cs="宋体"/>
          <w:color w:val="auto"/>
          <w:szCs w:val="21"/>
          <w:highlight w:val="none"/>
        </w:rPr>
        <w:t>无异议。</w:t>
      </w:r>
      <w:r>
        <w:rPr>
          <w:rFonts w:hint="eastAsia" w:ascii="宋体" w:hAnsi="宋体" w:eastAsia="宋体" w:cs="宋体"/>
          <w:b/>
          <w:bCs/>
          <w:color w:val="auto"/>
          <w:szCs w:val="21"/>
          <w:highlight w:val="none"/>
        </w:rPr>
        <w:t>我方愿以</w:t>
      </w:r>
      <w:r>
        <w:rPr>
          <w:rFonts w:hint="eastAsia" w:ascii="宋体" w:hAnsi="宋体" w:eastAsia="宋体" w:cs="宋体"/>
          <w:b/>
          <w:bCs/>
          <w:color w:val="auto"/>
          <w:szCs w:val="21"/>
          <w:highlight w:val="none"/>
          <w:u w:val="single"/>
        </w:rPr>
        <w:t>人民币（大写）</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　　</w:t>
      </w:r>
      <w:r>
        <w:rPr>
          <w:rFonts w:hint="eastAsia" w:ascii="宋体" w:hAnsi="宋体" w:eastAsia="宋体" w:cs="宋体"/>
          <w:b/>
          <w:bCs/>
          <w:color w:val="auto"/>
          <w:szCs w:val="21"/>
          <w:highlight w:val="none"/>
        </w:rPr>
        <w:t>元（小写</w:t>
      </w:r>
      <w:r>
        <w:rPr>
          <w:rFonts w:hint="eastAsia" w:ascii="宋体" w:hAnsi="宋体" w:eastAsia="宋体" w:cs="宋体"/>
          <w:b/>
          <w:bCs/>
          <w:color w:val="auto"/>
          <w:szCs w:val="21"/>
          <w:highlight w:val="none"/>
          <w:u w:val="single"/>
        </w:rPr>
        <w:t>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　</w:t>
      </w:r>
      <w:r>
        <w:rPr>
          <w:rFonts w:hint="eastAsia" w:ascii="宋体" w:hAnsi="宋体" w:eastAsia="宋体" w:cs="宋体"/>
          <w:b/>
          <w:bCs/>
          <w:color w:val="auto"/>
          <w:szCs w:val="21"/>
          <w:highlight w:val="none"/>
        </w:rPr>
        <w:t>元）的</w:t>
      </w:r>
      <w:r>
        <w:rPr>
          <w:rFonts w:hint="eastAsia" w:ascii="宋体" w:hAnsi="宋体" w:cs="宋体"/>
          <w:b/>
          <w:bCs/>
          <w:color w:val="auto"/>
          <w:szCs w:val="21"/>
          <w:highlight w:val="none"/>
          <w:lang w:val="en-US" w:eastAsia="zh-CN"/>
        </w:rPr>
        <w:t>首轮谈判总价</w:t>
      </w:r>
      <w:r>
        <w:rPr>
          <w:rFonts w:hint="eastAsia" w:ascii="宋体" w:hAnsi="宋体" w:eastAsia="宋体" w:cs="宋体"/>
          <w:b/>
          <w:bCs/>
          <w:color w:val="auto"/>
          <w:szCs w:val="21"/>
          <w:highlight w:val="none"/>
        </w:rPr>
        <w:t>，</w:t>
      </w:r>
      <w:r>
        <w:rPr>
          <w:rFonts w:hint="eastAsia" w:ascii="宋体" w:hAnsi="宋体" w:eastAsia="宋体" w:cs="宋体"/>
          <w:bCs/>
          <w:color w:val="auto"/>
          <w:szCs w:val="21"/>
          <w:highlight w:val="none"/>
        </w:rPr>
        <w:t>并承诺按本</w:t>
      </w:r>
      <w:r>
        <w:rPr>
          <w:rFonts w:hint="eastAsia" w:ascii="宋体" w:hAnsi="宋体" w:cs="宋体"/>
          <w:bCs/>
          <w:color w:val="auto"/>
          <w:szCs w:val="21"/>
          <w:highlight w:val="none"/>
          <w:lang w:eastAsia="zh-CN"/>
        </w:rPr>
        <w:t>竞争性谈判文件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施工图设计文件</w:t>
      </w:r>
      <w:r>
        <w:rPr>
          <w:rFonts w:hint="eastAsia" w:ascii="宋体" w:hAnsi="宋体" w:eastAsia="宋体" w:cs="宋体"/>
          <w:bCs/>
          <w:color w:val="auto"/>
          <w:szCs w:val="21"/>
          <w:highlight w:val="none"/>
        </w:rPr>
        <w:t>、合同条款和工程建设技术标准的条件、</w:t>
      </w:r>
      <w:r>
        <w:rPr>
          <w:rFonts w:hint="eastAsia" w:ascii="宋体" w:hAnsi="宋体" w:eastAsia="宋体" w:cs="宋体"/>
          <w:color w:val="auto"/>
          <w:szCs w:val="21"/>
          <w:highlight w:val="none"/>
        </w:rPr>
        <w:t>承担</w:t>
      </w:r>
      <w:r>
        <w:rPr>
          <w:rFonts w:hint="eastAsia" w:ascii="宋体" w:hAnsi="宋体" w:eastAsia="宋体" w:cs="宋体"/>
          <w:bCs/>
          <w:color w:val="auto"/>
          <w:szCs w:val="21"/>
          <w:highlight w:val="none"/>
        </w:rPr>
        <w:t>上述工程的施工、竣工，并承担任何质量缺陷保修责任。</w:t>
      </w:r>
    </w:p>
    <w:p>
      <w:pPr>
        <w:pStyle w:val="11"/>
        <w:keepNext w:val="0"/>
        <w:keepLines w:val="0"/>
        <w:pageBreakBefore w:val="0"/>
        <w:widowControl w:val="0"/>
        <w:kinsoku/>
        <w:wordWrap/>
        <w:overflowPunct/>
        <w:topLinePunct w:val="0"/>
        <w:bidi w:val="0"/>
        <w:adjustRightInd w:val="0"/>
        <w:snapToGrid w:val="0"/>
        <w:spacing w:after="0" w:line="24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我方已详细审核并确认全部</w:t>
      </w:r>
      <w:r>
        <w:rPr>
          <w:rFonts w:hint="eastAsia" w:ascii="宋体" w:hAnsi="宋体" w:cs="宋体"/>
          <w:color w:val="auto"/>
          <w:szCs w:val="21"/>
          <w:highlight w:val="none"/>
          <w:lang w:eastAsia="zh-CN"/>
        </w:rPr>
        <w:t>竞争性谈判文件</w:t>
      </w:r>
      <w:r>
        <w:rPr>
          <w:rFonts w:hint="eastAsia" w:ascii="宋体" w:hAnsi="宋体" w:eastAsia="宋体" w:cs="宋体"/>
          <w:color w:val="auto"/>
          <w:szCs w:val="21"/>
          <w:highlight w:val="none"/>
        </w:rPr>
        <w:t>及有关附件，充分理解投标价格不得低于企业个别成本有关规定。我方经成本核算，所填报的</w:t>
      </w:r>
      <w:r>
        <w:rPr>
          <w:rFonts w:hint="eastAsia" w:ascii="宋体" w:hAnsi="宋体" w:cs="宋体"/>
          <w:color w:val="auto"/>
          <w:szCs w:val="21"/>
          <w:highlight w:val="none"/>
          <w:lang w:eastAsia="zh-CN"/>
        </w:rPr>
        <w:t>谈判报价</w:t>
      </w:r>
      <w:r>
        <w:rPr>
          <w:rFonts w:hint="eastAsia" w:ascii="宋体" w:hAnsi="宋体" w:eastAsia="宋体" w:cs="宋体"/>
          <w:color w:val="auto"/>
          <w:szCs w:val="21"/>
          <w:highlight w:val="none"/>
        </w:rPr>
        <w:t>不低于企业个别成本。</w:t>
      </w:r>
    </w:p>
    <w:p>
      <w:pPr>
        <w:pStyle w:val="11"/>
        <w:keepNext w:val="0"/>
        <w:keepLines w:val="0"/>
        <w:pageBreakBefore w:val="0"/>
        <w:widowControl w:val="0"/>
        <w:kinsoku/>
        <w:wordWrap/>
        <w:overflowPunct/>
        <w:topLinePunct w:val="0"/>
        <w:bidi w:val="0"/>
        <w:adjustRightInd w:val="0"/>
        <w:snapToGrid w:val="0"/>
        <w:spacing w:after="0" w:line="24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我方拟派本工程项目经理为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strike w:val="0"/>
          <w:dstrike w:val="0"/>
          <w:color w:val="auto"/>
          <w:szCs w:val="21"/>
          <w:highlight w:val="none"/>
          <w:lang w:val="en-US" w:eastAsia="zh-CN"/>
        </w:rPr>
        <w:t>具有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专业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级注册建造师</w:t>
      </w:r>
      <w:r>
        <w:rPr>
          <w:rFonts w:hint="eastAsia" w:ascii="宋体" w:hAnsi="宋体" w:eastAsia="宋体" w:cs="宋体"/>
          <w:color w:val="auto"/>
          <w:szCs w:val="21"/>
          <w:highlight w:val="none"/>
          <w:lang w:val="en-US" w:eastAsia="zh-CN"/>
        </w:rPr>
        <w:t>执业资格</w:t>
      </w:r>
      <w:r>
        <w:rPr>
          <w:rFonts w:hint="eastAsia" w:ascii="宋体" w:hAnsi="宋体" w:eastAsia="宋体" w:cs="宋体"/>
          <w:color w:val="auto"/>
          <w:szCs w:val="21"/>
          <w:highlight w:val="none"/>
        </w:rPr>
        <w:t>。</w:t>
      </w:r>
    </w:p>
    <w:p>
      <w:pPr>
        <w:pStyle w:val="11"/>
        <w:keepNext w:val="0"/>
        <w:keepLines w:val="0"/>
        <w:pageBreakBefore w:val="0"/>
        <w:widowControl w:val="0"/>
        <w:kinsoku/>
        <w:wordWrap/>
        <w:overflowPunct/>
        <w:topLinePunct w:val="0"/>
        <w:bidi w:val="0"/>
        <w:adjustRightInd w:val="0"/>
        <w:snapToGrid w:val="0"/>
        <w:spacing w:after="0" w:line="24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一旦我方</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，我方保证按</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日历天的工期和</w:t>
      </w:r>
      <w:r>
        <w:rPr>
          <w:rFonts w:hint="eastAsia" w:ascii="宋体" w:hAnsi="宋体" w:cs="宋体"/>
          <w:color w:val="auto"/>
          <w:szCs w:val="21"/>
          <w:highlight w:val="none"/>
          <w:lang w:eastAsia="zh-CN"/>
        </w:rPr>
        <w:t>竞争性谈判文件</w:t>
      </w:r>
      <w:r>
        <w:rPr>
          <w:rFonts w:hint="eastAsia" w:ascii="宋体" w:hAnsi="宋体" w:eastAsia="宋体" w:cs="宋体"/>
          <w:color w:val="auto"/>
          <w:szCs w:val="21"/>
          <w:highlight w:val="none"/>
        </w:rPr>
        <w:t>或业主开工令的要求如期开工、竣工并移交整个工程。</w:t>
      </w:r>
    </w:p>
    <w:p>
      <w:pPr>
        <w:pStyle w:val="11"/>
        <w:keepNext w:val="0"/>
        <w:keepLines w:val="0"/>
        <w:pageBreakBefore w:val="0"/>
        <w:widowControl w:val="0"/>
        <w:kinsoku/>
        <w:wordWrap/>
        <w:overflowPunct/>
        <w:topLinePunct w:val="0"/>
        <w:bidi w:val="0"/>
        <w:adjustRightInd w:val="0"/>
        <w:snapToGrid w:val="0"/>
        <w:spacing w:after="0" w:line="24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一旦我方</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，我方保证工程质量达到国家相关施工验收规范</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rPr>
        <w:t>标准。</w:t>
      </w:r>
    </w:p>
    <w:p>
      <w:pPr>
        <w:pStyle w:val="11"/>
        <w:keepNext w:val="0"/>
        <w:keepLines w:val="0"/>
        <w:pageBreakBefore w:val="0"/>
        <w:widowControl w:val="0"/>
        <w:kinsoku/>
        <w:wordWrap/>
        <w:overflowPunct/>
        <w:topLinePunct w:val="0"/>
        <w:bidi w:val="0"/>
        <w:adjustRightInd w:val="0"/>
        <w:snapToGrid w:val="0"/>
        <w:spacing w:after="0" w:line="24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一旦我方</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，我方保证</w:t>
      </w:r>
      <w:r>
        <w:rPr>
          <w:rFonts w:hint="eastAsia" w:ascii="宋体" w:hAnsi="宋体" w:cs="宋体"/>
          <w:color w:val="auto"/>
          <w:szCs w:val="21"/>
          <w:highlight w:val="none"/>
          <w:lang w:eastAsia="zh-CN"/>
        </w:rPr>
        <w:t>谈判响应文件</w:t>
      </w:r>
      <w:r>
        <w:rPr>
          <w:rFonts w:hint="eastAsia" w:ascii="宋体" w:hAnsi="宋体" w:eastAsia="宋体" w:cs="宋体"/>
          <w:color w:val="auto"/>
          <w:szCs w:val="21"/>
          <w:highlight w:val="none"/>
        </w:rPr>
        <w:t>中承诺的项目管理班子及施工机械设备到位，并按</w:t>
      </w:r>
      <w:r>
        <w:rPr>
          <w:rFonts w:hint="eastAsia" w:ascii="宋体" w:hAnsi="宋体" w:cs="宋体"/>
          <w:color w:val="auto"/>
          <w:szCs w:val="21"/>
          <w:highlight w:val="none"/>
          <w:lang w:eastAsia="zh-CN"/>
        </w:rPr>
        <w:t>谈判响应文件</w:t>
      </w:r>
      <w:r>
        <w:rPr>
          <w:rFonts w:hint="eastAsia" w:ascii="宋体" w:hAnsi="宋体" w:eastAsia="宋体" w:cs="宋体"/>
          <w:color w:val="auto"/>
          <w:szCs w:val="21"/>
          <w:highlight w:val="none"/>
        </w:rPr>
        <w:t>中的施工组织设计组织施工。</w:t>
      </w:r>
    </w:p>
    <w:p>
      <w:pPr>
        <w:pStyle w:val="11"/>
        <w:keepNext w:val="0"/>
        <w:keepLines w:val="0"/>
        <w:pageBreakBefore w:val="0"/>
        <w:widowControl w:val="0"/>
        <w:kinsoku/>
        <w:wordWrap/>
        <w:overflowPunct/>
        <w:topLinePunct w:val="0"/>
        <w:bidi w:val="0"/>
        <w:adjustRightInd w:val="0"/>
        <w:snapToGrid w:val="0"/>
        <w:spacing w:after="0" w:line="24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一旦我方</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，我方保证用于本工程的主要材料、设备，不低于</w:t>
      </w:r>
      <w:r>
        <w:rPr>
          <w:rFonts w:hint="eastAsia" w:ascii="宋体" w:hAnsi="宋体" w:cs="宋体"/>
          <w:color w:val="auto"/>
          <w:szCs w:val="21"/>
          <w:highlight w:val="none"/>
          <w:lang w:eastAsia="zh-CN"/>
        </w:rPr>
        <w:t>竞争性谈判文件</w:t>
      </w:r>
      <w:r>
        <w:rPr>
          <w:rFonts w:hint="eastAsia" w:ascii="宋体" w:hAnsi="宋体" w:eastAsia="宋体" w:cs="宋体"/>
          <w:color w:val="auto"/>
          <w:szCs w:val="21"/>
          <w:highlight w:val="none"/>
        </w:rPr>
        <w:t>规定和</w:t>
      </w:r>
      <w:r>
        <w:rPr>
          <w:rFonts w:hint="eastAsia" w:ascii="宋体" w:hAnsi="宋体" w:cs="宋体"/>
          <w:color w:val="auto"/>
          <w:szCs w:val="21"/>
          <w:highlight w:val="none"/>
          <w:lang w:eastAsia="zh-CN"/>
        </w:rPr>
        <w:t>谈判响应文件</w:t>
      </w:r>
      <w:r>
        <w:rPr>
          <w:rFonts w:hint="eastAsia" w:ascii="宋体" w:hAnsi="宋体" w:eastAsia="宋体" w:cs="宋体"/>
          <w:color w:val="auto"/>
          <w:szCs w:val="21"/>
          <w:highlight w:val="none"/>
        </w:rPr>
        <w:t>承诺的合格产品，并在使用之前经建设、监理、设计单位确认后使用。</w:t>
      </w:r>
    </w:p>
    <w:p>
      <w:pPr>
        <w:pStyle w:val="11"/>
        <w:keepNext w:val="0"/>
        <w:keepLines w:val="0"/>
        <w:pageBreakBefore w:val="0"/>
        <w:widowControl w:val="0"/>
        <w:kinsoku/>
        <w:wordWrap/>
        <w:overflowPunct/>
        <w:topLinePunct w:val="0"/>
        <w:bidi w:val="0"/>
        <w:adjustRightInd w:val="0"/>
        <w:snapToGrid w:val="0"/>
        <w:spacing w:after="0" w:line="24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一旦我方</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，我方保证在规定的时间内由我方法定代表人亲自签订合同以及及时进场施工，并认真履行合同和其它各项承诺。</w:t>
      </w:r>
    </w:p>
    <w:p>
      <w:pPr>
        <w:pStyle w:val="11"/>
        <w:keepNext w:val="0"/>
        <w:keepLines w:val="0"/>
        <w:pageBreakBefore w:val="0"/>
        <w:widowControl w:val="0"/>
        <w:kinsoku/>
        <w:wordWrap/>
        <w:overflowPunct/>
        <w:topLinePunct w:val="0"/>
        <w:bidi w:val="0"/>
        <w:adjustRightInd w:val="0"/>
        <w:snapToGrid w:val="0"/>
        <w:spacing w:after="0" w:line="24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一旦我方</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，我方保证在规定的时间内按</w:t>
      </w:r>
      <w:r>
        <w:rPr>
          <w:rFonts w:hint="eastAsia" w:ascii="宋体" w:hAnsi="宋体" w:cs="宋体"/>
          <w:color w:val="auto"/>
          <w:szCs w:val="21"/>
          <w:highlight w:val="none"/>
          <w:lang w:eastAsia="zh-CN"/>
        </w:rPr>
        <w:t>竞争性谈判文件</w:t>
      </w:r>
      <w:r>
        <w:rPr>
          <w:rFonts w:hint="eastAsia" w:ascii="宋体" w:hAnsi="宋体" w:eastAsia="宋体" w:cs="宋体"/>
          <w:color w:val="auto"/>
          <w:szCs w:val="21"/>
          <w:highlight w:val="none"/>
        </w:rPr>
        <w:t>规定的方式、金额向发包人提交履约担保。</w:t>
      </w:r>
    </w:p>
    <w:p>
      <w:pPr>
        <w:pStyle w:val="11"/>
        <w:keepNext w:val="0"/>
        <w:keepLines w:val="0"/>
        <w:pageBreakBefore w:val="0"/>
        <w:widowControl w:val="0"/>
        <w:kinsoku/>
        <w:wordWrap/>
        <w:overflowPunct/>
        <w:topLinePunct w:val="0"/>
        <w:bidi w:val="0"/>
        <w:adjustRightInd w:val="0"/>
        <w:snapToGrid w:val="0"/>
        <w:spacing w:after="0" w:line="24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我方同意所提交的</w:t>
      </w:r>
      <w:r>
        <w:rPr>
          <w:rFonts w:hint="eastAsia" w:ascii="宋体" w:hAnsi="宋体" w:cs="宋体"/>
          <w:color w:val="auto"/>
          <w:szCs w:val="21"/>
          <w:highlight w:val="none"/>
          <w:lang w:eastAsia="zh-CN"/>
        </w:rPr>
        <w:t>谈判响应文件</w:t>
      </w:r>
      <w:r>
        <w:rPr>
          <w:rFonts w:hint="eastAsia" w:ascii="宋体" w:hAnsi="宋体" w:eastAsia="宋体" w:cs="宋体"/>
          <w:color w:val="auto"/>
          <w:szCs w:val="21"/>
          <w:highlight w:val="none"/>
        </w:rPr>
        <w:t>在</w:t>
      </w:r>
      <w:r>
        <w:rPr>
          <w:rFonts w:hint="eastAsia" w:ascii="宋体" w:hAnsi="宋体" w:cs="宋体"/>
          <w:color w:val="auto"/>
          <w:szCs w:val="21"/>
          <w:highlight w:val="none"/>
          <w:lang w:eastAsia="zh-CN"/>
        </w:rPr>
        <w:t>竞争性谈判文件</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谈判响应文件</w:t>
      </w:r>
      <w:r>
        <w:rPr>
          <w:rFonts w:hint="eastAsia" w:ascii="宋体" w:hAnsi="宋体" w:eastAsia="宋体" w:cs="宋体"/>
          <w:color w:val="auto"/>
          <w:szCs w:val="21"/>
          <w:highlight w:val="none"/>
        </w:rPr>
        <w:t>须知中规定的</w:t>
      </w:r>
      <w:r>
        <w:rPr>
          <w:rFonts w:hint="eastAsia" w:ascii="宋体" w:hAnsi="宋体" w:cs="宋体"/>
          <w:color w:val="auto"/>
          <w:szCs w:val="21"/>
          <w:highlight w:val="none"/>
          <w:lang w:eastAsia="zh-CN"/>
        </w:rPr>
        <w:t>谈判</w:t>
      </w:r>
      <w:r>
        <w:rPr>
          <w:rFonts w:hint="eastAsia" w:ascii="宋体" w:hAnsi="宋体" w:eastAsia="宋体" w:cs="宋体"/>
          <w:color w:val="auto"/>
          <w:szCs w:val="21"/>
          <w:highlight w:val="none"/>
        </w:rPr>
        <w:t>有效期内有效，在此期间内如果</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，我方将受此约束。</w:t>
      </w:r>
    </w:p>
    <w:p>
      <w:pPr>
        <w:pStyle w:val="11"/>
        <w:keepNext w:val="0"/>
        <w:keepLines w:val="0"/>
        <w:pageBreakBefore w:val="0"/>
        <w:widowControl w:val="0"/>
        <w:kinsoku/>
        <w:wordWrap/>
        <w:overflowPunct/>
        <w:topLinePunct w:val="0"/>
        <w:bidi w:val="0"/>
        <w:adjustRightInd w:val="0"/>
        <w:snapToGrid w:val="0"/>
        <w:spacing w:after="0" w:line="24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除非另外达成协议并生效，你方的</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通知书和本</w:t>
      </w:r>
      <w:r>
        <w:rPr>
          <w:rFonts w:hint="eastAsia" w:ascii="宋体" w:hAnsi="宋体" w:cs="宋体"/>
          <w:color w:val="auto"/>
          <w:szCs w:val="21"/>
          <w:highlight w:val="none"/>
          <w:lang w:eastAsia="zh-CN"/>
        </w:rPr>
        <w:t>谈判响应文件</w:t>
      </w:r>
      <w:r>
        <w:rPr>
          <w:rFonts w:hint="eastAsia" w:ascii="宋体" w:hAnsi="宋体" w:eastAsia="宋体" w:cs="宋体"/>
          <w:color w:val="auto"/>
          <w:szCs w:val="21"/>
          <w:highlight w:val="none"/>
        </w:rPr>
        <w:t>以及</w:t>
      </w:r>
      <w:r>
        <w:rPr>
          <w:rFonts w:hint="eastAsia" w:ascii="宋体" w:hAnsi="宋体" w:cs="宋体"/>
          <w:color w:val="auto"/>
          <w:szCs w:val="21"/>
          <w:highlight w:val="none"/>
          <w:lang w:eastAsia="zh-CN"/>
        </w:rPr>
        <w:t>竞争性谈判文件</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竞争性谈判文件</w:t>
      </w:r>
      <w:r>
        <w:rPr>
          <w:rFonts w:hint="eastAsia" w:ascii="宋体" w:hAnsi="宋体" w:eastAsia="宋体" w:cs="宋体"/>
          <w:color w:val="auto"/>
          <w:szCs w:val="21"/>
          <w:highlight w:val="none"/>
        </w:rPr>
        <w:t xml:space="preserve">澄清、修改、补充将成为约束双方的合同文件的组成部分。  </w:t>
      </w:r>
    </w:p>
    <w:p>
      <w:pPr>
        <w:pStyle w:val="11"/>
        <w:keepNext w:val="0"/>
        <w:keepLines w:val="0"/>
        <w:pageBreakBefore w:val="0"/>
        <w:widowControl w:val="0"/>
        <w:kinsoku/>
        <w:wordWrap/>
        <w:overflowPunct/>
        <w:topLinePunct w:val="0"/>
        <w:bidi w:val="0"/>
        <w:adjustRightInd w:val="0"/>
        <w:snapToGrid w:val="0"/>
        <w:spacing w:after="0" w:line="240" w:lineRule="auto"/>
        <w:ind w:left="0" w:leftChars="0"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cs="宋体"/>
          <w:b/>
          <w:color w:val="auto"/>
          <w:szCs w:val="21"/>
          <w:highlight w:val="none"/>
          <w:lang w:val="en-US" w:eastAsia="zh-CN"/>
        </w:rPr>
        <w:t>2</w:t>
      </w: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rPr>
        <w:t>我方承诺：</w:t>
      </w:r>
    </w:p>
    <w:p>
      <w:pPr>
        <w:keepNext w:val="0"/>
        <w:keepLines w:val="0"/>
        <w:pageBreakBefore w:val="0"/>
        <w:widowControl w:val="0"/>
        <w:kinsoku/>
        <w:wordWrap/>
        <w:overflowPunct/>
        <w:topLinePunct w:val="0"/>
        <w:autoSpaceDE w:val="0"/>
        <w:autoSpaceDN w:val="0"/>
        <w:bidi w:val="0"/>
        <w:adjustRightInd w:val="0"/>
        <w:spacing w:line="240" w:lineRule="auto"/>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（1）我单位</w:t>
      </w:r>
      <w:r>
        <w:rPr>
          <w:rFonts w:hint="eastAsia" w:ascii="宋体" w:hAnsi="宋体" w:cs="宋体"/>
          <w:b/>
          <w:color w:val="auto"/>
          <w:szCs w:val="21"/>
          <w:highlight w:val="none"/>
          <w:lang w:eastAsia="zh-CN"/>
        </w:rPr>
        <w:t>成交</w:t>
      </w:r>
      <w:r>
        <w:rPr>
          <w:rFonts w:hint="eastAsia" w:ascii="宋体" w:hAnsi="宋体" w:eastAsia="宋体" w:cs="宋体"/>
          <w:b/>
          <w:color w:val="auto"/>
          <w:szCs w:val="21"/>
          <w:highlight w:val="none"/>
        </w:rPr>
        <w:t>后按</w:t>
      </w:r>
      <w:r>
        <w:rPr>
          <w:rFonts w:hint="eastAsia" w:ascii="宋体" w:hAnsi="宋体" w:cs="宋体"/>
          <w:b/>
          <w:color w:val="auto"/>
          <w:szCs w:val="21"/>
          <w:highlight w:val="none"/>
          <w:lang w:eastAsia="zh-CN"/>
        </w:rPr>
        <w:t>竞争性谈判文件</w:t>
      </w:r>
      <w:r>
        <w:rPr>
          <w:rFonts w:hint="eastAsia" w:ascii="宋体" w:hAnsi="宋体" w:eastAsia="宋体" w:cs="宋体"/>
          <w:b/>
          <w:color w:val="auto"/>
          <w:szCs w:val="21"/>
          <w:highlight w:val="none"/>
        </w:rPr>
        <w:t>规定时间与</w:t>
      </w:r>
      <w:r>
        <w:rPr>
          <w:rFonts w:hint="eastAsia" w:ascii="宋体" w:hAnsi="宋体" w:cs="宋体"/>
          <w:b/>
          <w:color w:val="auto"/>
          <w:szCs w:val="21"/>
          <w:highlight w:val="none"/>
          <w:lang w:eastAsia="zh-CN"/>
        </w:rPr>
        <w:t>采购人</w:t>
      </w:r>
      <w:r>
        <w:rPr>
          <w:rFonts w:hint="eastAsia" w:ascii="宋体" w:hAnsi="宋体" w:eastAsia="宋体" w:cs="宋体"/>
          <w:b/>
          <w:color w:val="auto"/>
          <w:szCs w:val="21"/>
          <w:highlight w:val="none"/>
        </w:rPr>
        <w:t>签订合同，按规定缴纳（扣缴）增值税、城市维护建设税、教育费附加、地方教育费附加和地方水利建设基金等税费。</w:t>
      </w:r>
    </w:p>
    <w:p>
      <w:pPr>
        <w:pStyle w:val="11"/>
        <w:keepNext w:val="0"/>
        <w:keepLines w:val="0"/>
        <w:pageBreakBefore w:val="0"/>
        <w:widowControl w:val="0"/>
        <w:kinsoku/>
        <w:wordWrap/>
        <w:overflowPunct/>
        <w:topLinePunct w:val="0"/>
        <w:bidi w:val="0"/>
        <w:adjustRightInd w:val="0"/>
        <w:snapToGrid w:val="0"/>
        <w:spacing w:after="0" w:line="240" w:lineRule="auto"/>
        <w:ind w:left="0" w:leftChars="0"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（2）一旦我方</w:t>
      </w:r>
      <w:r>
        <w:rPr>
          <w:rFonts w:hint="eastAsia" w:ascii="宋体" w:hAnsi="宋体" w:eastAsia="宋体" w:cs="宋体"/>
          <w:b/>
          <w:color w:val="auto"/>
          <w:szCs w:val="21"/>
          <w:highlight w:val="none"/>
          <w:lang w:val="en-US" w:eastAsia="zh-CN"/>
        </w:rPr>
        <w:t>成交</w:t>
      </w:r>
      <w:r>
        <w:rPr>
          <w:rFonts w:hint="eastAsia" w:ascii="宋体" w:hAnsi="宋体" w:eastAsia="宋体" w:cs="宋体"/>
          <w:b/>
          <w:color w:val="auto"/>
          <w:szCs w:val="21"/>
          <w:highlight w:val="none"/>
        </w:rPr>
        <w:t>，我方保证在规定的时间内按</w:t>
      </w:r>
      <w:r>
        <w:rPr>
          <w:rFonts w:hint="eastAsia" w:ascii="宋体" w:hAnsi="宋体" w:eastAsia="宋体" w:cs="宋体"/>
          <w:b/>
          <w:color w:val="auto"/>
          <w:szCs w:val="21"/>
          <w:highlight w:val="none"/>
          <w:lang w:val="en-US" w:eastAsia="zh-CN"/>
        </w:rPr>
        <w:t>竞争性谈判文件</w:t>
      </w:r>
      <w:r>
        <w:rPr>
          <w:rFonts w:hint="eastAsia" w:ascii="宋体" w:hAnsi="宋体" w:eastAsia="宋体" w:cs="宋体"/>
          <w:b/>
          <w:color w:val="auto"/>
          <w:szCs w:val="21"/>
          <w:highlight w:val="none"/>
        </w:rPr>
        <w:t>约定的时间、金额缴纳招标代理费和工程量清单及</w:t>
      </w:r>
      <w:r>
        <w:rPr>
          <w:rFonts w:hint="eastAsia" w:ascii="宋体" w:hAnsi="宋体" w:eastAsia="宋体" w:cs="宋体"/>
          <w:b/>
          <w:color w:val="auto"/>
          <w:szCs w:val="21"/>
          <w:highlight w:val="none"/>
          <w:lang w:eastAsia="zh-CN"/>
        </w:rPr>
        <w:t>最高投标限价</w:t>
      </w:r>
      <w:r>
        <w:rPr>
          <w:rFonts w:hint="eastAsia" w:ascii="宋体" w:hAnsi="宋体" w:eastAsia="宋体" w:cs="宋体"/>
          <w:b/>
          <w:color w:val="auto"/>
          <w:szCs w:val="21"/>
          <w:highlight w:val="none"/>
        </w:rPr>
        <w:t>编制费。</w:t>
      </w:r>
    </w:p>
    <w:p>
      <w:pPr>
        <w:pStyle w:val="11"/>
        <w:keepNext w:val="0"/>
        <w:keepLines w:val="0"/>
        <w:pageBreakBefore w:val="0"/>
        <w:widowControl w:val="0"/>
        <w:kinsoku/>
        <w:wordWrap/>
        <w:overflowPunct/>
        <w:topLinePunct w:val="0"/>
        <w:bidi w:val="0"/>
        <w:adjustRightInd w:val="0"/>
        <w:snapToGrid w:val="0"/>
        <w:spacing w:after="0" w:line="240" w:lineRule="auto"/>
        <w:ind w:left="0" w:leftChars="0"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ascii="宋体" w:hAnsi="宋体" w:cs="宋体"/>
          <w:b/>
          <w:color w:val="auto"/>
          <w:szCs w:val="21"/>
          <w:highlight w:val="none"/>
          <w:lang w:val="en-US" w:eastAsia="zh-CN"/>
        </w:rPr>
        <w:t>3</w:t>
      </w:r>
      <w:r>
        <w:rPr>
          <w:rFonts w:hint="eastAsia" w:ascii="宋体" w:hAnsi="宋体" w:eastAsia="宋体" w:cs="宋体"/>
          <w:b/>
          <w:color w:val="auto"/>
          <w:szCs w:val="21"/>
          <w:highlight w:val="none"/>
        </w:rPr>
        <w:t>）我方已对</w:t>
      </w:r>
      <w:r>
        <w:rPr>
          <w:rFonts w:hint="eastAsia" w:ascii="宋体" w:hAnsi="宋体" w:eastAsia="宋体" w:cs="宋体"/>
          <w:b/>
          <w:color w:val="auto"/>
          <w:szCs w:val="21"/>
          <w:highlight w:val="none"/>
          <w:lang w:eastAsia="zh-CN"/>
        </w:rPr>
        <w:t>采购人</w:t>
      </w:r>
      <w:r>
        <w:rPr>
          <w:rFonts w:hint="eastAsia" w:ascii="宋体" w:hAnsi="宋体" w:eastAsia="宋体" w:cs="宋体"/>
          <w:b/>
          <w:color w:val="auto"/>
          <w:szCs w:val="21"/>
          <w:highlight w:val="none"/>
        </w:rPr>
        <w:t>提供的工程量清单和</w:t>
      </w:r>
      <w:r>
        <w:rPr>
          <w:rFonts w:hint="eastAsia" w:ascii="宋体" w:hAnsi="宋体" w:eastAsia="宋体" w:cs="宋体"/>
          <w:b/>
          <w:color w:val="auto"/>
          <w:szCs w:val="21"/>
          <w:highlight w:val="none"/>
          <w:lang w:eastAsia="zh-CN"/>
        </w:rPr>
        <w:t>最高谈判限价</w:t>
      </w:r>
      <w:r>
        <w:rPr>
          <w:rFonts w:hint="eastAsia" w:ascii="宋体" w:hAnsi="宋体" w:eastAsia="宋体" w:cs="宋体"/>
          <w:b/>
          <w:color w:val="auto"/>
          <w:szCs w:val="21"/>
          <w:highlight w:val="none"/>
        </w:rPr>
        <w:t>进行认真复核，确认无误，</w:t>
      </w:r>
      <w:r>
        <w:rPr>
          <w:rFonts w:hint="eastAsia" w:ascii="宋体" w:hAnsi="宋体" w:eastAsia="宋体" w:cs="宋体"/>
          <w:b/>
          <w:color w:val="auto"/>
          <w:szCs w:val="21"/>
          <w:highlight w:val="none"/>
          <w:lang w:eastAsia="zh-CN"/>
        </w:rPr>
        <w:t>成交</w:t>
      </w:r>
      <w:r>
        <w:rPr>
          <w:rFonts w:hint="eastAsia" w:ascii="宋体" w:hAnsi="宋体" w:eastAsia="宋体" w:cs="宋体"/>
          <w:b/>
          <w:color w:val="auto"/>
          <w:szCs w:val="21"/>
          <w:highlight w:val="none"/>
        </w:rPr>
        <w:t>后不再另行调整。</w:t>
      </w:r>
    </w:p>
    <w:p>
      <w:pPr>
        <w:pStyle w:val="11"/>
        <w:keepNext w:val="0"/>
        <w:keepLines w:val="0"/>
        <w:pageBreakBefore w:val="0"/>
        <w:widowControl w:val="0"/>
        <w:kinsoku/>
        <w:wordWrap/>
        <w:overflowPunct/>
        <w:topLinePunct w:val="0"/>
        <w:bidi w:val="0"/>
        <w:adjustRightInd w:val="0"/>
        <w:snapToGrid w:val="0"/>
        <w:spacing w:after="0" w:line="240" w:lineRule="auto"/>
        <w:ind w:left="0" w:leftChars="0" w:firstLine="422" w:firstLineChars="200"/>
        <w:textAlignment w:val="auto"/>
        <w:outlineLvl w:val="9"/>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lang w:eastAsia="zh-CN"/>
        </w:rPr>
        <w:t>）我方在此声明，所递交的谈判响应文件及有关资料内容完整、真实和准确，符合资格审查条件，且不存在第二章“谈判响应人须知”第</w:t>
      </w:r>
      <w:r>
        <w:rPr>
          <w:rFonts w:hint="eastAsia" w:ascii="宋体" w:hAnsi="宋体" w:cs="宋体"/>
          <w:b/>
          <w:color w:val="auto"/>
          <w:szCs w:val="21"/>
          <w:highlight w:val="none"/>
          <w:lang w:val="en-US" w:eastAsia="zh-CN"/>
        </w:rPr>
        <w:t>4.5.1</w:t>
      </w:r>
      <w:r>
        <w:rPr>
          <w:rFonts w:hint="eastAsia" w:ascii="宋体" w:hAnsi="宋体" w:cs="宋体"/>
          <w:b/>
          <w:color w:val="auto"/>
          <w:szCs w:val="21"/>
          <w:highlight w:val="none"/>
          <w:lang w:eastAsia="zh-CN"/>
        </w:rPr>
        <w:t>项、第</w:t>
      </w:r>
      <w:r>
        <w:rPr>
          <w:rFonts w:hint="eastAsia" w:ascii="宋体" w:hAnsi="宋体" w:cs="宋体"/>
          <w:b/>
          <w:color w:val="auto"/>
          <w:szCs w:val="21"/>
          <w:highlight w:val="none"/>
          <w:lang w:val="en-US" w:eastAsia="zh-CN"/>
        </w:rPr>
        <w:t>4.5.2</w:t>
      </w:r>
      <w:r>
        <w:rPr>
          <w:rFonts w:hint="eastAsia" w:ascii="宋体" w:hAnsi="宋体" w:cs="宋体"/>
          <w:b/>
          <w:color w:val="auto"/>
          <w:szCs w:val="21"/>
          <w:highlight w:val="none"/>
          <w:lang w:eastAsia="zh-CN"/>
        </w:rPr>
        <w:t>项规定的任何一种情形。</w:t>
      </w:r>
    </w:p>
    <w:p>
      <w:pPr>
        <w:pStyle w:val="11"/>
        <w:keepNext w:val="0"/>
        <w:keepLines w:val="0"/>
        <w:pageBreakBefore w:val="0"/>
        <w:widowControl w:val="0"/>
        <w:kinsoku/>
        <w:wordWrap/>
        <w:overflowPunct/>
        <w:topLinePunct w:val="0"/>
        <w:bidi w:val="0"/>
        <w:adjustRightInd w:val="0"/>
        <w:snapToGrid w:val="0"/>
        <w:spacing w:after="0" w:line="240" w:lineRule="auto"/>
        <w:ind w:left="0" w:leftChars="0" w:firstLine="422" w:firstLineChars="200"/>
        <w:textAlignment w:val="auto"/>
        <w:outlineLvl w:val="9"/>
        <w:rPr>
          <w:rFonts w:hint="eastAsia" w:ascii="宋体" w:hAnsi="宋体" w:eastAsia="宋体" w:cs="宋体"/>
          <w:b/>
          <w:color w:val="auto"/>
          <w:szCs w:val="21"/>
          <w:highlight w:val="none"/>
        </w:rPr>
      </w:pPr>
    </w:p>
    <w:p>
      <w:pPr>
        <w:pStyle w:val="11"/>
        <w:keepNext w:val="0"/>
        <w:keepLines w:val="0"/>
        <w:pageBreakBefore w:val="0"/>
        <w:widowControl w:val="0"/>
        <w:kinsoku/>
        <w:wordWrap/>
        <w:overflowPunct/>
        <w:topLinePunct w:val="0"/>
        <w:bidi w:val="0"/>
        <w:adjustRightInd w:val="0"/>
        <w:snapToGrid w:val="0"/>
        <w:spacing w:after="0" w:line="24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其他补充说明：</w:t>
      </w:r>
      <w:r>
        <w:rPr>
          <w:rFonts w:hint="eastAsia" w:ascii="宋体" w:hAnsi="宋体" w:eastAsia="宋体" w:cs="宋体"/>
          <w:color w:val="auto"/>
          <w:szCs w:val="21"/>
          <w:highlight w:val="none"/>
          <w:u w:val="single"/>
        </w:rPr>
        <w:t xml:space="preserve">             {补充说明事项}         </w:t>
      </w:r>
    </w:p>
    <w:p>
      <w:pPr>
        <w:keepNext w:val="0"/>
        <w:keepLines w:val="0"/>
        <w:pageBreakBefore w:val="0"/>
        <w:widowControl w:val="0"/>
        <w:kinsoku/>
        <w:wordWrap/>
        <w:overflowPunct/>
        <w:topLinePunct w:val="0"/>
        <w:bidi w:val="0"/>
        <w:adjustRightInd w:val="0"/>
        <w:snapToGrid w:val="0"/>
        <w:spacing w:line="240" w:lineRule="auto"/>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bidi w:val="0"/>
        <w:adjustRightInd w:val="0"/>
        <w:snapToGrid w:val="0"/>
        <w:spacing w:line="240" w:lineRule="auto"/>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bidi w:val="0"/>
        <w:adjustRightInd w:val="0"/>
        <w:snapToGrid w:val="0"/>
        <w:spacing w:line="240" w:lineRule="auto"/>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bidi w:val="0"/>
        <w:adjustRightInd w:val="0"/>
        <w:snapToGrid w:val="0"/>
        <w:spacing w:line="240" w:lineRule="auto"/>
        <w:ind w:firstLine="1260" w:firstLineChars="600"/>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谈判响应人：</w:t>
      </w:r>
      <w:r>
        <w:rPr>
          <w:rFonts w:hint="eastAsia" w:ascii="宋体" w:hAnsi="宋体" w:eastAsia="宋体" w:cs="宋体"/>
          <w:color w:val="auto"/>
          <w:szCs w:val="21"/>
          <w:highlight w:val="none"/>
          <w:u w:val="single"/>
        </w:rPr>
        <w:t xml:space="preserve">      名称   （盖章）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240" w:lineRule="auto"/>
        <w:ind w:left="0" w:leftChars="0" w:firstLine="1260" w:firstLineChars="600"/>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bidi w:val="0"/>
        <w:adjustRightInd w:val="0"/>
        <w:snapToGrid w:val="0"/>
        <w:spacing w:line="240" w:lineRule="auto"/>
        <w:ind w:firstLine="1260" w:firstLineChars="600"/>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签字或</w:t>
      </w:r>
      <w:r>
        <w:rPr>
          <w:rFonts w:hint="eastAsia" w:ascii="宋体" w:hAnsi="宋体" w:eastAsia="宋体" w:cs="宋体"/>
          <w:color w:val="auto"/>
          <w:szCs w:val="21"/>
          <w:highlight w:val="none"/>
          <w:u w:val="single"/>
        </w:rPr>
        <w:t xml:space="preserve">盖章）      </w:t>
      </w:r>
    </w:p>
    <w:p>
      <w:pPr>
        <w:keepNext w:val="0"/>
        <w:keepLines w:val="0"/>
        <w:pageBreakBefore w:val="0"/>
        <w:widowControl w:val="0"/>
        <w:kinsoku/>
        <w:wordWrap/>
        <w:overflowPunct/>
        <w:topLinePunct w:val="0"/>
        <w:bidi w:val="0"/>
        <w:adjustRightInd w:val="0"/>
        <w:snapToGrid w:val="0"/>
        <w:spacing w:line="240" w:lineRule="auto"/>
        <w:ind w:firstLine="1260" w:firstLineChars="6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keepNext w:val="0"/>
        <w:keepLines w:val="0"/>
        <w:pageBreakBefore w:val="0"/>
        <w:widowControl w:val="0"/>
        <w:kinsoku/>
        <w:wordWrap/>
        <w:overflowPunct/>
        <w:topLinePunct w:val="0"/>
        <w:bidi w:val="0"/>
        <w:adjustRightInd w:val="0"/>
        <w:snapToGrid w:val="0"/>
        <w:spacing w:line="240" w:lineRule="auto"/>
        <w:ind w:firstLine="1260" w:firstLineChars="600"/>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开户银行名称：</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bidi w:val="0"/>
        <w:adjustRightInd w:val="0"/>
        <w:snapToGrid w:val="0"/>
        <w:spacing w:line="240" w:lineRule="auto"/>
        <w:ind w:firstLine="1260" w:firstLineChars="6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开户银行账号：</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bidi w:val="0"/>
        <w:adjustRightInd w:val="0"/>
        <w:snapToGrid w:val="0"/>
        <w:spacing w:line="240" w:lineRule="auto"/>
        <w:ind w:firstLine="1260" w:firstLineChars="6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日期：_____年____月____日</w:t>
      </w:r>
    </w:p>
    <w:p>
      <w:pPr>
        <w:pStyle w:val="16"/>
        <w:keepNext w:val="0"/>
        <w:keepLines w:val="0"/>
        <w:pageBreakBefore w:val="0"/>
        <w:widowControl w:val="0"/>
        <w:kinsoku/>
        <w:wordWrap/>
        <w:overflowPunct/>
        <w:topLinePunct w:val="0"/>
        <w:bidi w:val="0"/>
        <w:spacing w:line="240" w:lineRule="auto"/>
        <w:ind w:firstLine="480" w:firstLineChars="200"/>
        <w:textAlignment w:val="auto"/>
        <w:outlineLvl w:val="9"/>
        <w:rPr>
          <w:rFonts w:hint="eastAsia" w:ascii="宋体" w:hAnsi="宋体" w:eastAsia="宋体" w:cs="宋体"/>
          <w:color w:val="auto"/>
          <w:sz w:val="24"/>
          <w:highlight w:val="none"/>
        </w:rPr>
      </w:pPr>
    </w:p>
    <w:p>
      <w:pPr>
        <w:pStyle w:val="16"/>
        <w:keepNext w:val="0"/>
        <w:keepLines w:val="0"/>
        <w:pageBreakBefore w:val="0"/>
        <w:widowControl w:val="0"/>
        <w:kinsoku/>
        <w:wordWrap/>
        <w:overflowPunct/>
        <w:topLinePunct w:val="0"/>
        <w:bidi w:val="0"/>
        <w:spacing w:line="240" w:lineRule="auto"/>
        <w:ind w:firstLine="480" w:firstLineChars="200"/>
        <w:textAlignment w:val="auto"/>
        <w:outlineLvl w:val="9"/>
        <w:rPr>
          <w:rFonts w:hint="eastAsia" w:ascii="宋体" w:hAnsi="宋体" w:eastAsia="宋体" w:cs="宋体"/>
          <w:color w:val="auto"/>
          <w:sz w:val="24"/>
          <w:highlight w:val="none"/>
        </w:rPr>
      </w:pPr>
    </w:p>
    <w:p>
      <w:pPr>
        <w:pStyle w:val="16"/>
        <w:keepNext w:val="0"/>
        <w:keepLines w:val="0"/>
        <w:pageBreakBefore w:val="0"/>
        <w:widowControl w:val="0"/>
        <w:kinsoku/>
        <w:wordWrap/>
        <w:overflowPunct/>
        <w:topLinePunct w:val="0"/>
        <w:bidi w:val="0"/>
        <w:spacing w:line="240" w:lineRule="auto"/>
        <w:ind w:firstLine="480" w:firstLineChars="200"/>
        <w:textAlignment w:val="auto"/>
        <w:outlineLvl w:val="9"/>
        <w:rPr>
          <w:rFonts w:hint="eastAsia" w:ascii="宋体" w:hAnsi="宋体" w:eastAsia="宋体" w:cs="宋体"/>
          <w:color w:val="auto"/>
          <w:sz w:val="24"/>
          <w:highlight w:val="none"/>
        </w:rPr>
      </w:pPr>
    </w:p>
    <w:p>
      <w:pPr>
        <w:pStyle w:val="16"/>
        <w:keepNext w:val="0"/>
        <w:keepLines w:val="0"/>
        <w:pageBreakBefore w:val="0"/>
        <w:widowControl w:val="0"/>
        <w:kinsoku/>
        <w:wordWrap/>
        <w:overflowPunct/>
        <w:topLinePunct w:val="0"/>
        <w:bidi w:val="0"/>
        <w:spacing w:line="240" w:lineRule="auto"/>
        <w:ind w:firstLine="480" w:firstLineChars="200"/>
        <w:textAlignment w:val="auto"/>
        <w:outlineLvl w:val="9"/>
        <w:rPr>
          <w:rFonts w:hint="eastAsia" w:ascii="宋体" w:hAnsi="宋体" w:eastAsia="宋体" w:cs="宋体"/>
          <w:color w:val="auto"/>
          <w:sz w:val="24"/>
          <w:highlight w:val="none"/>
        </w:rPr>
      </w:pPr>
    </w:p>
    <w:p>
      <w:pPr>
        <w:pStyle w:val="16"/>
        <w:keepNext w:val="0"/>
        <w:keepLines w:val="0"/>
        <w:pageBreakBefore w:val="0"/>
        <w:widowControl w:val="0"/>
        <w:kinsoku/>
        <w:wordWrap/>
        <w:overflowPunct/>
        <w:topLinePunct w:val="0"/>
        <w:bidi w:val="0"/>
        <w:spacing w:line="240" w:lineRule="auto"/>
        <w:ind w:firstLine="480" w:firstLineChars="200"/>
        <w:textAlignment w:val="auto"/>
        <w:outlineLvl w:val="9"/>
        <w:rPr>
          <w:rFonts w:hint="eastAsia" w:ascii="宋体" w:hAnsi="宋体" w:eastAsia="宋体" w:cs="宋体"/>
          <w:color w:val="auto"/>
          <w:sz w:val="24"/>
          <w:highlight w:val="none"/>
        </w:rPr>
      </w:pPr>
    </w:p>
    <w:p>
      <w:pPr>
        <w:pStyle w:val="16"/>
        <w:keepNext w:val="0"/>
        <w:keepLines w:val="0"/>
        <w:pageBreakBefore w:val="0"/>
        <w:widowControl w:val="0"/>
        <w:kinsoku/>
        <w:wordWrap/>
        <w:overflowPunct/>
        <w:topLinePunct w:val="0"/>
        <w:bidi w:val="0"/>
        <w:spacing w:line="240" w:lineRule="auto"/>
        <w:ind w:firstLine="480" w:firstLineChars="200"/>
        <w:textAlignment w:val="auto"/>
        <w:outlineLvl w:val="9"/>
        <w:rPr>
          <w:rFonts w:hint="eastAsia" w:ascii="宋体" w:hAnsi="宋体" w:eastAsia="宋体" w:cs="宋体"/>
          <w:color w:val="auto"/>
          <w:sz w:val="24"/>
          <w:highlight w:val="none"/>
        </w:rPr>
      </w:pPr>
    </w:p>
    <w:p>
      <w:pPr>
        <w:pStyle w:val="5"/>
        <w:jc w:val="center"/>
        <w:rPr>
          <w:rFonts w:hAnsi="宋体" w:cs="宋体"/>
          <w:color w:val="auto"/>
          <w:highlight w:val="none"/>
          <w:u w:val="single"/>
        </w:rPr>
      </w:pPr>
      <w:bookmarkStart w:id="289" w:name="_Toc15489"/>
      <w:bookmarkStart w:id="290" w:name="_Toc10635"/>
      <w:bookmarkStart w:id="291" w:name="_Toc757"/>
      <w:r>
        <w:rPr>
          <w:rFonts w:hint="eastAsia" w:hAnsi="宋体" w:cs="宋体"/>
          <w:color w:val="auto"/>
          <w:highlight w:val="none"/>
          <w:lang w:val="en-US" w:eastAsia="zh-CN"/>
        </w:rPr>
        <w:t>二、</w:t>
      </w:r>
      <w:r>
        <w:rPr>
          <w:rFonts w:hint="eastAsia" w:hAnsi="宋体" w:cs="宋体"/>
          <w:color w:val="auto"/>
          <w:highlight w:val="none"/>
        </w:rPr>
        <w:t>最终报价表</w:t>
      </w:r>
      <w:bookmarkEnd w:id="289"/>
      <w:bookmarkEnd w:id="290"/>
      <w:bookmarkEnd w:id="291"/>
    </w:p>
    <w:p>
      <w:pPr>
        <w:spacing w:line="360" w:lineRule="auto"/>
        <w:rPr>
          <w:rFonts w:ascii="宋体" w:hAnsi="宋体" w:cs="宋体"/>
          <w:color w:val="auto"/>
          <w:sz w:val="24"/>
          <w:highlight w:val="none"/>
        </w:rPr>
      </w:pPr>
      <w:r>
        <w:rPr>
          <w:rFonts w:hint="eastAsia" w:ascii="宋体" w:hAnsi="宋体" w:cs="宋体"/>
          <w:color w:val="auto"/>
          <w:szCs w:val="21"/>
          <w:highlight w:val="none"/>
        </w:rPr>
        <w:t xml:space="preserve">项目名称：  </w:t>
      </w:r>
    </w:p>
    <w:p>
      <w:pPr>
        <w:spacing w:line="360" w:lineRule="auto"/>
        <w:rPr>
          <w:rFonts w:ascii="宋体" w:hAnsi="宋体" w:cs="宋体"/>
          <w:color w:val="auto"/>
          <w:kern w:val="0"/>
          <w:sz w:val="24"/>
          <w:highlight w:val="none"/>
          <w:lang w:val="zh-CN"/>
        </w:rPr>
      </w:pPr>
      <w:r>
        <w:rPr>
          <w:rFonts w:hint="eastAsia" w:ascii="宋体" w:hAnsi="宋体" w:cs="宋体"/>
          <w:color w:val="auto"/>
          <w:szCs w:val="21"/>
          <w:highlight w:val="none"/>
        </w:rPr>
        <w:t xml:space="preserve">项目编号： </w:t>
      </w:r>
    </w:p>
    <w:p>
      <w:pPr>
        <w:spacing w:line="360" w:lineRule="auto"/>
        <w:ind w:firstLine="6090" w:firstLineChars="2900"/>
        <w:rPr>
          <w:rFonts w:ascii="宋体" w:hAnsi="宋体" w:cs="宋体"/>
          <w:color w:val="auto"/>
          <w:highlight w:val="none"/>
        </w:rPr>
      </w:pPr>
      <w:r>
        <w:rPr>
          <w:rFonts w:hint="eastAsia" w:ascii="宋体" w:hAnsi="宋体" w:cs="宋体"/>
          <w:color w:val="auto"/>
          <w:highlight w:val="none"/>
        </w:rPr>
        <w:t>金额单位：人民币（元）</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1779" w:type="dxa"/>
            <w:vMerge w:val="restart"/>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最终报价</w:t>
            </w:r>
          </w:p>
        </w:tc>
        <w:tc>
          <w:tcPr>
            <w:tcW w:w="7507" w:type="dxa"/>
            <w:vAlign w:val="center"/>
          </w:tcPr>
          <w:p>
            <w:pPr>
              <w:keepNext w:val="0"/>
              <w:keepLines w:val="0"/>
              <w:suppressLineNumbers w:val="0"/>
              <w:wordWrap w:val="0"/>
              <w:spacing w:before="0" w:beforeAutospacing="0" w:after="0" w:afterAutospacing="0" w:line="400" w:lineRule="exact"/>
              <w:ind w:left="0" w:right="0"/>
              <w:rPr>
                <w:rFonts w:hint="default" w:ascii="宋体" w:hAnsi="宋体" w:cs="宋体"/>
                <w:color w:val="auto"/>
                <w:sz w:val="24"/>
                <w:highlight w:val="none"/>
              </w:rPr>
            </w:pPr>
            <w:r>
              <w:rPr>
                <w:rFonts w:hint="eastAsia" w:ascii="宋体" w:hAnsi="宋体" w:cs="宋体"/>
                <w:color w:val="auto"/>
                <w:sz w:val="24"/>
                <w:highlight w:val="non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1779"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highlight w:val="none"/>
              </w:rPr>
            </w:pPr>
          </w:p>
        </w:tc>
        <w:tc>
          <w:tcPr>
            <w:tcW w:w="7507" w:type="dxa"/>
            <w:vAlign w:val="center"/>
          </w:tcPr>
          <w:p>
            <w:pPr>
              <w:keepNext w:val="0"/>
              <w:keepLines w:val="0"/>
              <w:suppressLineNumbers w:val="0"/>
              <w:wordWrap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keepNext w:val="0"/>
              <w:keepLines w:val="0"/>
              <w:suppressLineNumbers w:val="0"/>
              <w:spacing w:before="0" w:beforeAutospacing="0" w:after="0" w:afterAutospacing="0" w:line="400" w:lineRule="exact"/>
              <w:ind w:left="0" w:right="0"/>
              <w:rPr>
                <w:rFonts w:hint="default" w:ascii="宋体" w:hAnsi="宋体" w:cs="宋体"/>
                <w:color w:val="auto"/>
                <w:sz w:val="24"/>
                <w:highlight w:val="none"/>
              </w:rPr>
            </w:pPr>
            <w:r>
              <w:rPr>
                <w:rFonts w:hint="eastAsia" w:ascii="宋体" w:hAnsi="宋体" w:cs="宋体"/>
                <w:color w:val="auto"/>
                <w:sz w:val="24"/>
                <w:highlight w:val="none"/>
              </w:rPr>
              <w:t>备注：</w:t>
            </w:r>
          </w:p>
          <w:p>
            <w:pPr>
              <w:keepNext w:val="0"/>
              <w:keepLines w:val="0"/>
              <w:suppressLineNumbers w:val="0"/>
              <w:spacing w:before="0" w:beforeAutospacing="0" w:after="0" w:afterAutospacing="0" w:line="400" w:lineRule="exact"/>
              <w:ind w:left="0" w:right="0"/>
              <w:rPr>
                <w:rFonts w:hint="default" w:ascii="宋体" w:hAnsi="宋体" w:cs="宋体"/>
                <w:color w:val="auto"/>
                <w:sz w:val="24"/>
                <w:highlight w:val="none"/>
              </w:rPr>
            </w:pPr>
            <w:r>
              <w:rPr>
                <w:rFonts w:hint="eastAsia" w:ascii="宋体" w:hAnsi="宋体" w:cs="宋体"/>
                <w:color w:val="auto"/>
                <w:sz w:val="24"/>
                <w:highlight w:val="none"/>
              </w:rPr>
              <w:t>1、分项报价按总报价的同等比例下浮；</w:t>
            </w:r>
          </w:p>
          <w:p>
            <w:pPr>
              <w:keepNext w:val="0"/>
              <w:keepLines w:val="0"/>
              <w:suppressLineNumbers w:val="0"/>
              <w:spacing w:before="0" w:beforeAutospacing="0" w:after="0" w:afterAutospacing="0" w:line="400" w:lineRule="exact"/>
              <w:ind w:left="0" w:right="0"/>
              <w:rPr>
                <w:rFonts w:hint="default" w:ascii="宋体" w:hAnsi="宋体" w:cs="宋体"/>
                <w:color w:val="auto"/>
                <w:sz w:val="24"/>
                <w:highlight w:val="none"/>
              </w:rPr>
            </w:pPr>
            <w:r>
              <w:rPr>
                <w:rFonts w:hint="eastAsia" w:ascii="宋体" w:hAnsi="宋体" w:cs="宋体"/>
                <w:color w:val="auto"/>
                <w:sz w:val="24"/>
                <w:highlight w:val="none"/>
              </w:rPr>
              <w:t>2、最终报价保留两位小数，小数点后第三位四舍五入。</w:t>
            </w:r>
          </w:p>
        </w:tc>
      </w:tr>
    </w:tbl>
    <w:p>
      <w:pPr>
        <w:spacing w:line="360" w:lineRule="auto"/>
        <w:rPr>
          <w:rFonts w:ascii="宋体" w:hAnsi="宋体" w:cs="宋体"/>
          <w:b/>
          <w:strike w:val="0"/>
          <w:dstrike w:val="0"/>
          <w:color w:val="auto"/>
          <w:sz w:val="24"/>
          <w:highlight w:val="none"/>
        </w:rPr>
      </w:pPr>
    </w:p>
    <w:p>
      <w:pPr>
        <w:spacing w:line="360" w:lineRule="auto"/>
        <w:rPr>
          <w:rFonts w:ascii="宋体" w:hAnsi="宋体" w:cs="宋体"/>
          <w:b/>
          <w:strike w:val="0"/>
          <w:dstrike w:val="0"/>
          <w:color w:val="auto"/>
          <w:sz w:val="24"/>
          <w:highlight w:val="none"/>
        </w:rPr>
      </w:pPr>
      <w:r>
        <w:rPr>
          <w:rFonts w:hint="eastAsia" w:ascii="宋体" w:hAnsi="宋体" w:cs="宋体"/>
          <w:b/>
          <w:strike w:val="0"/>
          <w:dstrike w:val="0"/>
          <w:color w:val="auto"/>
          <w:sz w:val="24"/>
          <w:highlight w:val="none"/>
        </w:rPr>
        <w:t>注：谈判响应文件中无须提供该报价表。此表请各谈判响应人准备好，以便在谈判最终报价时使用。（此表由谈判响应人谈判时，加盖谈判响应人电子公章及法定代表人电子签章，通过电子交易系统递交）</w:t>
      </w:r>
    </w:p>
    <w:p>
      <w:pPr>
        <w:spacing w:line="360" w:lineRule="auto"/>
        <w:ind w:firstLine="3465" w:firstLineChars="1650"/>
        <w:rPr>
          <w:rFonts w:ascii="宋体" w:hAnsi="宋体" w:cs="宋体"/>
          <w:color w:val="auto"/>
          <w:szCs w:val="21"/>
          <w:highlight w:val="none"/>
        </w:rPr>
      </w:pPr>
    </w:p>
    <w:p>
      <w:pPr>
        <w:spacing w:line="360" w:lineRule="auto"/>
        <w:ind w:firstLine="3465" w:firstLineChars="1650"/>
        <w:rPr>
          <w:rFonts w:ascii="宋体" w:hAnsi="宋体" w:cs="宋体"/>
          <w:color w:val="auto"/>
          <w:szCs w:val="21"/>
          <w:highlight w:val="none"/>
        </w:rPr>
      </w:pPr>
      <w:r>
        <w:rPr>
          <w:rFonts w:hint="eastAsia" w:ascii="宋体" w:hAnsi="宋体" w:cs="宋体"/>
          <w:color w:val="auto"/>
          <w:szCs w:val="21"/>
          <w:highlight w:val="none"/>
        </w:rPr>
        <w:t>谈判响应人：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p>
      <w:pPr>
        <w:spacing w:line="360" w:lineRule="auto"/>
        <w:ind w:firstLine="3561" w:firstLineChars="1696"/>
        <w:rPr>
          <w:rFonts w:ascii="宋体" w:hAnsi="宋体" w:cs="宋体"/>
          <w:color w:val="auto"/>
          <w:szCs w:val="21"/>
          <w:highlight w:val="none"/>
        </w:rPr>
      </w:pPr>
    </w:p>
    <w:p>
      <w:pPr>
        <w:spacing w:line="360" w:lineRule="auto"/>
        <w:ind w:firstLine="3465" w:firstLineChars="1650"/>
        <w:rPr>
          <w:rFonts w:ascii="宋体" w:hAnsi="宋体" w:cs="宋体"/>
          <w:color w:val="auto"/>
          <w:szCs w:val="21"/>
          <w:highlight w:val="non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spacing w:line="360" w:lineRule="auto"/>
        <w:ind w:firstLine="3570" w:firstLineChars="1700"/>
        <w:rPr>
          <w:rFonts w:ascii="宋体" w:hAnsi="宋体" w:cs="宋体"/>
          <w:color w:val="auto"/>
          <w:szCs w:val="21"/>
          <w:highlight w:val="none"/>
        </w:rPr>
      </w:pPr>
    </w:p>
    <w:p>
      <w:pPr>
        <w:pStyle w:val="16"/>
        <w:keepNext w:val="0"/>
        <w:keepLines w:val="0"/>
        <w:pageBreakBefore w:val="0"/>
        <w:widowControl w:val="0"/>
        <w:kinsoku/>
        <w:wordWrap/>
        <w:overflowPunct/>
        <w:topLinePunct w:val="0"/>
        <w:bidi w:val="0"/>
        <w:spacing w:line="240" w:lineRule="auto"/>
        <w:ind w:firstLine="420" w:firstLineChars="200"/>
        <w:jc w:val="righ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16"/>
        <w:keepNext w:val="0"/>
        <w:keepLines w:val="0"/>
        <w:pageBreakBefore w:val="0"/>
        <w:widowControl w:val="0"/>
        <w:kinsoku/>
        <w:wordWrap/>
        <w:overflowPunct/>
        <w:topLinePunct w:val="0"/>
        <w:bidi w:val="0"/>
        <w:spacing w:line="240" w:lineRule="auto"/>
        <w:ind w:firstLine="420" w:firstLineChars="200"/>
        <w:jc w:val="right"/>
        <w:textAlignment w:val="auto"/>
        <w:outlineLvl w:val="9"/>
        <w:rPr>
          <w:rFonts w:hint="eastAsia" w:ascii="宋体" w:hAnsi="宋体" w:cs="宋体"/>
          <w:color w:val="auto"/>
          <w:szCs w:val="21"/>
          <w:highlight w:val="none"/>
        </w:rPr>
      </w:pPr>
    </w:p>
    <w:p>
      <w:pPr>
        <w:pStyle w:val="16"/>
        <w:keepNext w:val="0"/>
        <w:keepLines w:val="0"/>
        <w:pageBreakBefore w:val="0"/>
        <w:widowControl w:val="0"/>
        <w:kinsoku/>
        <w:wordWrap/>
        <w:overflowPunct/>
        <w:topLinePunct w:val="0"/>
        <w:bidi w:val="0"/>
        <w:spacing w:line="240" w:lineRule="auto"/>
        <w:ind w:firstLine="420" w:firstLineChars="200"/>
        <w:jc w:val="right"/>
        <w:textAlignment w:val="auto"/>
        <w:outlineLvl w:val="9"/>
        <w:rPr>
          <w:rFonts w:hint="eastAsia" w:ascii="宋体" w:hAnsi="宋体" w:cs="宋体"/>
          <w:color w:val="auto"/>
          <w:szCs w:val="21"/>
          <w:highlight w:val="none"/>
        </w:rPr>
      </w:pPr>
    </w:p>
    <w:p>
      <w:pPr>
        <w:pStyle w:val="16"/>
        <w:keepNext w:val="0"/>
        <w:keepLines w:val="0"/>
        <w:pageBreakBefore w:val="0"/>
        <w:widowControl w:val="0"/>
        <w:kinsoku/>
        <w:wordWrap/>
        <w:overflowPunct/>
        <w:topLinePunct w:val="0"/>
        <w:bidi w:val="0"/>
        <w:spacing w:line="240" w:lineRule="auto"/>
        <w:ind w:firstLine="420" w:firstLineChars="200"/>
        <w:jc w:val="right"/>
        <w:textAlignment w:val="auto"/>
        <w:outlineLvl w:val="9"/>
        <w:rPr>
          <w:rFonts w:hint="eastAsia" w:ascii="宋体" w:hAnsi="宋体" w:cs="宋体"/>
          <w:color w:val="auto"/>
          <w:szCs w:val="21"/>
          <w:highlight w:val="none"/>
        </w:rPr>
      </w:pPr>
    </w:p>
    <w:p>
      <w:pPr>
        <w:pStyle w:val="16"/>
        <w:keepNext w:val="0"/>
        <w:keepLines w:val="0"/>
        <w:pageBreakBefore w:val="0"/>
        <w:widowControl w:val="0"/>
        <w:kinsoku/>
        <w:wordWrap/>
        <w:overflowPunct/>
        <w:topLinePunct w:val="0"/>
        <w:bidi w:val="0"/>
        <w:spacing w:line="240" w:lineRule="auto"/>
        <w:ind w:firstLine="420" w:firstLineChars="200"/>
        <w:jc w:val="right"/>
        <w:textAlignment w:val="auto"/>
        <w:outlineLvl w:val="9"/>
        <w:rPr>
          <w:rFonts w:hint="eastAsia" w:ascii="宋体" w:hAnsi="宋体" w:cs="宋体"/>
          <w:color w:val="auto"/>
          <w:szCs w:val="21"/>
          <w:highlight w:val="none"/>
        </w:rPr>
      </w:pPr>
    </w:p>
    <w:p>
      <w:pPr>
        <w:pStyle w:val="16"/>
        <w:keepNext w:val="0"/>
        <w:keepLines w:val="0"/>
        <w:pageBreakBefore w:val="0"/>
        <w:widowControl w:val="0"/>
        <w:kinsoku/>
        <w:wordWrap/>
        <w:overflowPunct/>
        <w:topLinePunct w:val="0"/>
        <w:bidi w:val="0"/>
        <w:spacing w:line="240" w:lineRule="auto"/>
        <w:ind w:firstLine="420" w:firstLineChars="200"/>
        <w:jc w:val="right"/>
        <w:textAlignment w:val="auto"/>
        <w:outlineLvl w:val="9"/>
        <w:rPr>
          <w:rFonts w:hint="eastAsia" w:ascii="宋体" w:hAnsi="宋体" w:cs="宋体"/>
          <w:color w:val="auto"/>
          <w:szCs w:val="21"/>
          <w:highlight w:val="none"/>
        </w:rPr>
      </w:pPr>
    </w:p>
    <w:p>
      <w:pPr>
        <w:pStyle w:val="16"/>
        <w:keepNext w:val="0"/>
        <w:keepLines w:val="0"/>
        <w:pageBreakBefore w:val="0"/>
        <w:widowControl w:val="0"/>
        <w:kinsoku/>
        <w:wordWrap/>
        <w:overflowPunct/>
        <w:topLinePunct w:val="0"/>
        <w:bidi w:val="0"/>
        <w:spacing w:line="240" w:lineRule="auto"/>
        <w:ind w:firstLine="420" w:firstLineChars="200"/>
        <w:jc w:val="right"/>
        <w:textAlignment w:val="auto"/>
        <w:outlineLvl w:val="9"/>
        <w:rPr>
          <w:rFonts w:hint="eastAsia" w:ascii="宋体" w:hAnsi="宋体" w:cs="宋体"/>
          <w:color w:val="auto"/>
          <w:szCs w:val="21"/>
          <w:highlight w:val="none"/>
        </w:rPr>
      </w:pPr>
    </w:p>
    <w:p>
      <w:pPr>
        <w:pStyle w:val="16"/>
        <w:keepNext w:val="0"/>
        <w:keepLines w:val="0"/>
        <w:pageBreakBefore w:val="0"/>
        <w:widowControl w:val="0"/>
        <w:kinsoku/>
        <w:wordWrap/>
        <w:overflowPunct/>
        <w:topLinePunct w:val="0"/>
        <w:bidi w:val="0"/>
        <w:spacing w:line="240" w:lineRule="auto"/>
        <w:ind w:firstLine="420" w:firstLineChars="200"/>
        <w:jc w:val="right"/>
        <w:textAlignment w:val="auto"/>
        <w:outlineLvl w:val="9"/>
        <w:rPr>
          <w:rFonts w:hint="eastAsia" w:ascii="宋体" w:hAnsi="宋体" w:cs="宋体"/>
          <w:color w:val="auto"/>
          <w:szCs w:val="21"/>
          <w:highlight w:val="none"/>
        </w:rPr>
      </w:pPr>
    </w:p>
    <w:p>
      <w:pPr>
        <w:pStyle w:val="16"/>
        <w:keepNext w:val="0"/>
        <w:keepLines w:val="0"/>
        <w:pageBreakBefore w:val="0"/>
        <w:widowControl w:val="0"/>
        <w:kinsoku/>
        <w:wordWrap/>
        <w:overflowPunct/>
        <w:topLinePunct w:val="0"/>
        <w:bidi w:val="0"/>
        <w:spacing w:line="240" w:lineRule="auto"/>
        <w:ind w:firstLine="420" w:firstLineChars="200"/>
        <w:jc w:val="right"/>
        <w:textAlignment w:val="auto"/>
        <w:outlineLvl w:val="9"/>
        <w:rPr>
          <w:rFonts w:hint="eastAsia" w:ascii="宋体" w:hAnsi="宋体" w:cs="宋体"/>
          <w:color w:val="auto"/>
          <w:szCs w:val="21"/>
          <w:highlight w:val="none"/>
        </w:rPr>
      </w:pPr>
    </w:p>
    <w:p>
      <w:pPr>
        <w:pStyle w:val="16"/>
        <w:keepNext w:val="0"/>
        <w:keepLines w:val="0"/>
        <w:pageBreakBefore w:val="0"/>
        <w:widowControl w:val="0"/>
        <w:kinsoku/>
        <w:wordWrap/>
        <w:overflowPunct/>
        <w:topLinePunct w:val="0"/>
        <w:bidi w:val="0"/>
        <w:spacing w:line="240" w:lineRule="auto"/>
        <w:ind w:firstLine="420" w:firstLineChars="200"/>
        <w:jc w:val="right"/>
        <w:textAlignment w:val="auto"/>
        <w:outlineLvl w:val="9"/>
        <w:rPr>
          <w:rFonts w:hint="eastAsia" w:ascii="宋体" w:hAnsi="宋体" w:cs="宋体"/>
          <w:color w:val="auto"/>
          <w:szCs w:val="21"/>
          <w:highlight w:val="none"/>
        </w:rPr>
      </w:pPr>
    </w:p>
    <w:p>
      <w:pPr>
        <w:pStyle w:val="16"/>
        <w:keepNext w:val="0"/>
        <w:keepLines w:val="0"/>
        <w:pageBreakBefore w:val="0"/>
        <w:widowControl w:val="0"/>
        <w:kinsoku/>
        <w:wordWrap/>
        <w:overflowPunct/>
        <w:topLinePunct w:val="0"/>
        <w:bidi w:val="0"/>
        <w:spacing w:line="240" w:lineRule="auto"/>
        <w:ind w:firstLine="420" w:firstLineChars="200"/>
        <w:jc w:val="right"/>
        <w:textAlignment w:val="auto"/>
        <w:outlineLvl w:val="9"/>
        <w:rPr>
          <w:rFonts w:hint="eastAsia" w:ascii="宋体" w:hAnsi="宋体" w:cs="宋体"/>
          <w:color w:val="auto"/>
          <w:szCs w:val="21"/>
          <w:highlight w:val="none"/>
        </w:rPr>
      </w:pPr>
    </w:p>
    <w:p>
      <w:pPr>
        <w:pStyle w:val="16"/>
        <w:keepNext w:val="0"/>
        <w:keepLines w:val="0"/>
        <w:pageBreakBefore w:val="0"/>
        <w:widowControl w:val="0"/>
        <w:kinsoku/>
        <w:wordWrap/>
        <w:overflowPunct/>
        <w:topLinePunct w:val="0"/>
        <w:bidi w:val="0"/>
        <w:spacing w:line="240" w:lineRule="auto"/>
        <w:ind w:firstLine="420" w:firstLineChars="200"/>
        <w:jc w:val="right"/>
        <w:textAlignment w:val="auto"/>
        <w:outlineLvl w:val="9"/>
        <w:rPr>
          <w:rFonts w:hint="eastAsia" w:ascii="宋体" w:hAnsi="宋体" w:cs="宋体"/>
          <w:color w:val="auto"/>
          <w:szCs w:val="21"/>
          <w:highlight w:val="none"/>
        </w:rPr>
      </w:pPr>
    </w:p>
    <w:p>
      <w:pPr>
        <w:pStyle w:val="16"/>
        <w:keepNext w:val="0"/>
        <w:keepLines w:val="0"/>
        <w:pageBreakBefore w:val="0"/>
        <w:widowControl w:val="0"/>
        <w:kinsoku/>
        <w:wordWrap/>
        <w:overflowPunct/>
        <w:topLinePunct w:val="0"/>
        <w:bidi w:val="0"/>
        <w:spacing w:line="240" w:lineRule="auto"/>
        <w:ind w:firstLine="420" w:firstLineChars="200"/>
        <w:jc w:val="right"/>
        <w:textAlignment w:val="auto"/>
        <w:outlineLvl w:val="9"/>
        <w:rPr>
          <w:rFonts w:hint="eastAsia" w:ascii="宋体" w:hAnsi="宋体" w:cs="宋体"/>
          <w:color w:val="auto"/>
          <w:szCs w:val="21"/>
          <w:highlight w:val="none"/>
        </w:rPr>
      </w:pPr>
    </w:p>
    <w:p>
      <w:pPr>
        <w:pStyle w:val="16"/>
        <w:keepNext w:val="0"/>
        <w:keepLines w:val="0"/>
        <w:pageBreakBefore w:val="0"/>
        <w:widowControl w:val="0"/>
        <w:kinsoku/>
        <w:wordWrap/>
        <w:overflowPunct/>
        <w:topLinePunct w:val="0"/>
        <w:bidi w:val="0"/>
        <w:spacing w:line="240" w:lineRule="auto"/>
        <w:ind w:firstLine="420" w:firstLineChars="200"/>
        <w:jc w:val="right"/>
        <w:textAlignment w:val="auto"/>
        <w:outlineLvl w:val="9"/>
        <w:rPr>
          <w:rFonts w:hint="eastAsia" w:ascii="宋体" w:hAnsi="宋体" w:cs="宋体"/>
          <w:color w:val="auto"/>
          <w:szCs w:val="21"/>
          <w:highlight w:val="none"/>
        </w:rPr>
      </w:pPr>
    </w:p>
    <w:tbl>
      <w:tblPr>
        <w:tblStyle w:val="31"/>
        <w:tblW w:w="10488" w:type="dxa"/>
        <w:jc w:val="center"/>
        <w:tblLayout w:type="fixed"/>
        <w:tblCellMar>
          <w:top w:w="0" w:type="dxa"/>
          <w:left w:w="0" w:type="dxa"/>
          <w:bottom w:w="0" w:type="dxa"/>
          <w:right w:w="0" w:type="dxa"/>
        </w:tblCellMar>
      </w:tblPr>
      <w:tblGrid>
        <w:gridCol w:w="115"/>
        <w:gridCol w:w="1576"/>
        <w:gridCol w:w="558"/>
        <w:gridCol w:w="230"/>
        <w:gridCol w:w="673"/>
        <w:gridCol w:w="1247"/>
        <w:gridCol w:w="2593"/>
        <w:gridCol w:w="459"/>
        <w:gridCol w:w="444"/>
        <w:gridCol w:w="573"/>
        <w:gridCol w:w="673"/>
        <w:gridCol w:w="1347"/>
      </w:tblGrid>
      <w:tr>
        <w:tblPrEx>
          <w:tblCellMar>
            <w:top w:w="0" w:type="dxa"/>
            <w:left w:w="0" w:type="dxa"/>
            <w:bottom w:w="0" w:type="dxa"/>
            <w:right w:w="0" w:type="dxa"/>
          </w:tblCellMar>
        </w:tblPrEx>
        <w:trPr>
          <w:trHeight w:val="673" w:hRule="exact"/>
          <w:jc w:val="center"/>
        </w:trPr>
        <w:tc>
          <w:tcPr>
            <w:tcW w:w="2249" w:type="dxa"/>
            <w:gridSpan w:val="3"/>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eastAsia="宋体"/>
                <w:color w:val="auto"/>
                <w:highlight w:val="none"/>
                <w:lang w:val="en-US" w:eastAsia="zh-CN"/>
              </w:rPr>
            </w:pPr>
          </w:p>
        </w:tc>
        <w:tc>
          <w:tcPr>
            <w:tcW w:w="6219" w:type="dxa"/>
            <w:gridSpan w:val="7"/>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1084" w:firstLineChars="300"/>
              <w:jc w:val="both"/>
              <w:rPr>
                <w:rFonts w:hint="default" w:ascii="宋体" w:hAnsi="宋体" w:eastAsia="宋体" w:cs="宋体"/>
                <w:b/>
                <w:color w:val="auto"/>
                <w:spacing w:val="-2"/>
                <w:sz w:val="34"/>
                <w:highlight w:val="none"/>
              </w:rPr>
            </w:pPr>
            <w:r>
              <w:rPr>
                <w:rFonts w:hint="eastAsia" w:ascii="宋体" w:hAnsi="宋体" w:cs="宋体"/>
                <w:b/>
                <w:color w:val="auto"/>
                <w:sz w:val="36"/>
                <w:szCs w:val="36"/>
                <w:highlight w:val="none"/>
                <w:lang w:val="en-US" w:eastAsia="zh-CN"/>
              </w:rPr>
              <w:t>三</w:t>
            </w:r>
            <w:r>
              <w:rPr>
                <w:rFonts w:hint="eastAsia" w:ascii="宋体" w:hAnsi="宋体" w:eastAsia="宋体" w:cs="宋体"/>
                <w:b/>
                <w:color w:val="auto"/>
                <w:sz w:val="36"/>
                <w:szCs w:val="36"/>
                <w:highlight w:val="none"/>
              </w:rPr>
              <w:t>、</w:t>
            </w:r>
            <w:r>
              <w:rPr>
                <w:rFonts w:hint="default" w:ascii="宋体" w:hAnsi="宋体" w:eastAsia="宋体" w:cs="宋体"/>
                <w:b/>
                <w:color w:val="auto"/>
                <w:spacing w:val="-2"/>
                <w:sz w:val="34"/>
                <w:highlight w:val="none"/>
              </w:rPr>
              <w:t xml:space="preserve"> </w:t>
            </w:r>
            <w:r>
              <w:rPr>
                <w:rFonts w:hint="eastAsia" w:ascii="宋体" w:hAnsi="宋体" w:cs="宋体"/>
                <w:b/>
                <w:color w:val="auto"/>
                <w:spacing w:val="-2"/>
                <w:sz w:val="34"/>
                <w:highlight w:val="none"/>
                <w:lang w:eastAsia="zh-CN"/>
              </w:rPr>
              <w:t>首轮谈判总价封面</w:t>
            </w:r>
          </w:p>
        </w:tc>
        <w:tc>
          <w:tcPr>
            <w:tcW w:w="2020" w:type="dxa"/>
            <w:gridSpan w:val="2"/>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903" w:hRule="exact"/>
          <w:jc w:val="center"/>
        </w:trPr>
        <w:tc>
          <w:tcPr>
            <w:tcW w:w="10488" w:type="dxa"/>
            <w:gridSpan w:val="12"/>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745" w:hRule="exact"/>
          <w:jc w:val="center"/>
        </w:trPr>
        <w:tc>
          <w:tcPr>
            <w:tcW w:w="1691" w:type="dxa"/>
            <w:gridSpan w:val="2"/>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204" w:type="dxa"/>
            <w:gridSpan w:val="7"/>
            <w:vMerge w:val="restart"/>
            <w:tcBorders>
              <w:bottom w:val="single" w:color="000000" w:sz="4" w:space="0"/>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34"/>
                <w:highlight w:val="none"/>
              </w:rPr>
            </w:pPr>
          </w:p>
        </w:tc>
        <w:tc>
          <w:tcPr>
            <w:tcW w:w="1246" w:type="dxa"/>
            <w:gridSpan w:val="2"/>
            <w:vMerge w:val="restart"/>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b/>
                <w:color w:val="auto"/>
                <w:spacing w:val="-2"/>
                <w:sz w:val="34"/>
                <w:highlight w:val="none"/>
              </w:rPr>
            </w:pPr>
            <w:r>
              <w:rPr>
                <w:rFonts w:hint="default" w:ascii="宋体" w:hAnsi="宋体" w:eastAsia="宋体" w:cs="宋体"/>
                <w:b/>
                <w:color w:val="auto"/>
                <w:spacing w:val="-2"/>
                <w:sz w:val="34"/>
                <w:highlight w:val="none"/>
              </w:rPr>
              <w:t>工程</w:t>
            </w:r>
          </w:p>
        </w:tc>
        <w:tc>
          <w:tcPr>
            <w:tcW w:w="1347"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731" w:hRule="exact"/>
          <w:jc w:val="center"/>
        </w:trPr>
        <w:tc>
          <w:tcPr>
            <w:tcW w:w="1691" w:type="dxa"/>
            <w:gridSpan w:val="2"/>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204" w:type="dxa"/>
            <w:gridSpan w:val="7"/>
            <w:vMerge w:val="continue"/>
            <w:tcBorders>
              <w:bottom w:val="single" w:color="000000" w:sz="4" w:space="0"/>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246" w:type="dxa"/>
            <w:gridSpan w:val="2"/>
            <w:vMerge w:val="continue"/>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347"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730" w:hRule="exact"/>
          <w:jc w:val="center"/>
        </w:trPr>
        <w:tc>
          <w:tcPr>
            <w:tcW w:w="1691" w:type="dxa"/>
            <w:gridSpan w:val="2"/>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204" w:type="dxa"/>
            <w:gridSpan w:val="7"/>
            <w:tcBorders>
              <w:top w:val="single" w:color="000000"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2593" w:type="dxa"/>
            <w:gridSpan w:val="3"/>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731" w:hRule="exact"/>
          <w:jc w:val="center"/>
        </w:trPr>
        <w:tc>
          <w:tcPr>
            <w:tcW w:w="10488" w:type="dxa"/>
            <w:gridSpan w:val="12"/>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017" w:hRule="exact"/>
          <w:jc w:val="center"/>
        </w:trPr>
        <w:tc>
          <w:tcPr>
            <w:tcW w:w="115" w:type="dxa"/>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0373" w:type="dxa"/>
            <w:gridSpan w:val="11"/>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color w:val="auto"/>
                <w:spacing w:val="-2"/>
                <w:sz w:val="42"/>
                <w:highlight w:val="none"/>
              </w:rPr>
            </w:pPr>
            <w:r>
              <w:rPr>
                <w:rFonts w:hint="eastAsia" w:ascii="宋体" w:hAnsi="宋体" w:cs="宋体"/>
                <w:b/>
                <w:color w:val="auto"/>
                <w:spacing w:val="-2"/>
                <w:sz w:val="42"/>
                <w:highlight w:val="none"/>
                <w:lang w:eastAsia="zh-CN"/>
              </w:rPr>
              <w:t>首轮谈判总价</w:t>
            </w:r>
          </w:p>
        </w:tc>
      </w:tr>
      <w:tr>
        <w:tblPrEx>
          <w:tblCellMar>
            <w:top w:w="0" w:type="dxa"/>
            <w:left w:w="0" w:type="dxa"/>
            <w:bottom w:w="0" w:type="dxa"/>
            <w:right w:w="0" w:type="dxa"/>
          </w:tblCellMar>
        </w:tblPrEx>
        <w:trPr>
          <w:trHeight w:val="1018" w:hRule="exact"/>
          <w:jc w:val="center"/>
        </w:trPr>
        <w:tc>
          <w:tcPr>
            <w:tcW w:w="10488" w:type="dxa"/>
            <w:gridSpan w:val="12"/>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017" w:hRule="exact"/>
          <w:jc w:val="center"/>
        </w:trPr>
        <w:tc>
          <w:tcPr>
            <w:tcW w:w="10488" w:type="dxa"/>
            <w:gridSpan w:val="12"/>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444" w:hRule="exact"/>
          <w:jc w:val="center"/>
        </w:trPr>
        <w:tc>
          <w:tcPr>
            <w:tcW w:w="2479" w:type="dxa"/>
            <w:gridSpan w:val="4"/>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920" w:type="dxa"/>
            <w:gridSpan w:val="2"/>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32"/>
                <w:highlight w:val="none"/>
              </w:rPr>
            </w:pPr>
            <w:r>
              <w:rPr>
                <w:rFonts w:hint="eastAsia" w:ascii="宋体" w:hAnsi="宋体" w:cs="宋体"/>
                <w:color w:val="auto"/>
                <w:spacing w:val="-2"/>
                <w:sz w:val="32"/>
                <w:highlight w:val="none"/>
                <w:lang w:val="en-US" w:eastAsia="zh-CN"/>
              </w:rPr>
              <w:t>谈判响应人</w:t>
            </w:r>
            <w:r>
              <w:rPr>
                <w:rFonts w:hint="default" w:ascii="宋体" w:hAnsi="宋体" w:eastAsia="宋体" w:cs="宋体"/>
                <w:color w:val="auto"/>
                <w:spacing w:val="-2"/>
                <w:sz w:val="32"/>
                <w:highlight w:val="none"/>
              </w:rPr>
              <w:t xml:space="preserve">  人：</w:t>
            </w:r>
          </w:p>
        </w:tc>
        <w:tc>
          <w:tcPr>
            <w:tcW w:w="3052" w:type="dxa"/>
            <w:gridSpan w:val="2"/>
            <w:tcBorders>
              <w:bottom w:val="single" w:color="000000" w:sz="4" w:space="0"/>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32"/>
                <w:highlight w:val="none"/>
              </w:rPr>
            </w:pPr>
          </w:p>
        </w:tc>
        <w:tc>
          <w:tcPr>
            <w:tcW w:w="3037" w:type="dxa"/>
            <w:gridSpan w:val="4"/>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459" w:hRule="exact"/>
          <w:jc w:val="center"/>
        </w:trPr>
        <w:tc>
          <w:tcPr>
            <w:tcW w:w="4399" w:type="dxa"/>
            <w:gridSpan w:val="6"/>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3052" w:type="dxa"/>
            <w:gridSpan w:val="2"/>
            <w:tcBorders>
              <w:top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0"/>
                <w:highlight w:val="none"/>
              </w:rPr>
            </w:pPr>
            <w:r>
              <w:rPr>
                <w:rFonts w:hint="default" w:ascii="宋体" w:hAnsi="宋体" w:eastAsia="宋体" w:cs="宋体"/>
                <w:color w:val="auto"/>
                <w:spacing w:val="-2"/>
                <w:sz w:val="20"/>
                <w:highlight w:val="none"/>
              </w:rPr>
              <w:t>（单位盖章）</w:t>
            </w:r>
          </w:p>
        </w:tc>
        <w:tc>
          <w:tcPr>
            <w:tcW w:w="3037" w:type="dxa"/>
            <w:gridSpan w:val="4"/>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788" w:hRule="exact"/>
          <w:jc w:val="center"/>
        </w:trPr>
        <w:tc>
          <w:tcPr>
            <w:tcW w:w="10488" w:type="dxa"/>
            <w:gridSpan w:val="12"/>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788" w:hRule="exact"/>
          <w:jc w:val="center"/>
        </w:trPr>
        <w:tc>
          <w:tcPr>
            <w:tcW w:w="10488" w:type="dxa"/>
            <w:gridSpan w:val="12"/>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458" w:hRule="exact"/>
          <w:jc w:val="center"/>
        </w:trPr>
        <w:tc>
          <w:tcPr>
            <w:tcW w:w="3152" w:type="dxa"/>
            <w:gridSpan w:val="5"/>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3840" w:type="dxa"/>
            <w:gridSpan w:val="2"/>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32"/>
                <w:highlight w:val="none"/>
              </w:rPr>
            </w:pPr>
            <w:r>
              <w:rPr>
                <w:rFonts w:hint="default" w:ascii="宋体" w:hAnsi="宋体" w:eastAsia="宋体" w:cs="宋体"/>
                <w:color w:val="auto"/>
                <w:spacing w:val="-2"/>
                <w:sz w:val="32"/>
                <w:highlight w:val="none"/>
              </w:rPr>
              <w:t>年   月   日</w:t>
            </w:r>
          </w:p>
        </w:tc>
        <w:tc>
          <w:tcPr>
            <w:tcW w:w="3496" w:type="dxa"/>
            <w:gridSpan w:val="5"/>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458" w:hRule="exact"/>
          <w:jc w:val="center"/>
        </w:trPr>
        <w:tc>
          <w:tcPr>
            <w:tcW w:w="3152" w:type="dxa"/>
            <w:gridSpan w:val="5"/>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3840" w:type="dxa"/>
            <w:gridSpan w:val="2"/>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32"/>
                <w:highlight w:val="none"/>
              </w:rPr>
            </w:pPr>
          </w:p>
        </w:tc>
        <w:tc>
          <w:tcPr>
            <w:tcW w:w="3496" w:type="dxa"/>
            <w:gridSpan w:val="5"/>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458" w:hRule="exact"/>
          <w:jc w:val="center"/>
        </w:trPr>
        <w:tc>
          <w:tcPr>
            <w:tcW w:w="3152" w:type="dxa"/>
            <w:gridSpan w:val="5"/>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p>
            <w:pPr>
              <w:pStyle w:val="10"/>
              <w:keepNext w:val="0"/>
              <w:keepLines w:val="0"/>
              <w:suppressLineNumbers w:val="0"/>
              <w:spacing w:beforeAutospacing="0" w:after="0" w:afterAutospacing="0"/>
              <w:ind w:left="0" w:right="0"/>
              <w:rPr>
                <w:rFonts w:hint="default"/>
                <w:color w:val="auto"/>
                <w:highlight w:val="none"/>
              </w:rPr>
            </w:pPr>
          </w:p>
          <w:p>
            <w:pPr>
              <w:pStyle w:val="10"/>
              <w:keepNext w:val="0"/>
              <w:keepLines w:val="0"/>
              <w:suppressLineNumbers w:val="0"/>
              <w:spacing w:beforeAutospacing="0" w:after="0" w:afterAutospacing="0"/>
              <w:ind w:left="0" w:right="0"/>
              <w:rPr>
                <w:rFonts w:hint="default"/>
                <w:color w:val="auto"/>
                <w:highlight w:val="none"/>
              </w:rPr>
            </w:pPr>
          </w:p>
          <w:p>
            <w:pPr>
              <w:pStyle w:val="10"/>
              <w:keepNext w:val="0"/>
              <w:keepLines w:val="0"/>
              <w:suppressLineNumbers w:val="0"/>
              <w:spacing w:beforeAutospacing="0" w:after="0" w:afterAutospacing="0"/>
              <w:ind w:left="0" w:right="0"/>
              <w:rPr>
                <w:rFonts w:hint="default"/>
                <w:color w:val="auto"/>
                <w:highlight w:val="none"/>
              </w:rPr>
            </w:pPr>
          </w:p>
          <w:p>
            <w:pPr>
              <w:pStyle w:val="10"/>
              <w:keepNext w:val="0"/>
              <w:keepLines w:val="0"/>
              <w:suppressLineNumbers w:val="0"/>
              <w:spacing w:beforeAutospacing="0" w:after="0" w:afterAutospacing="0"/>
              <w:ind w:left="0" w:right="0"/>
              <w:rPr>
                <w:rFonts w:hint="default"/>
                <w:color w:val="auto"/>
                <w:highlight w:val="none"/>
              </w:rPr>
            </w:pPr>
          </w:p>
        </w:tc>
        <w:tc>
          <w:tcPr>
            <w:tcW w:w="3840" w:type="dxa"/>
            <w:gridSpan w:val="2"/>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32"/>
                <w:highlight w:val="none"/>
              </w:rPr>
            </w:pPr>
          </w:p>
        </w:tc>
        <w:tc>
          <w:tcPr>
            <w:tcW w:w="3496" w:type="dxa"/>
            <w:gridSpan w:val="5"/>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458" w:hRule="exact"/>
          <w:jc w:val="center"/>
        </w:trPr>
        <w:tc>
          <w:tcPr>
            <w:tcW w:w="3152" w:type="dxa"/>
            <w:gridSpan w:val="5"/>
            <w:noWrap w:val="0"/>
            <w:vAlign w:val="top"/>
          </w:tcPr>
          <w:p>
            <w:pPr>
              <w:pStyle w:val="10"/>
              <w:keepNext w:val="0"/>
              <w:keepLines w:val="0"/>
              <w:suppressLineNumbers w:val="0"/>
              <w:spacing w:beforeAutospacing="0" w:after="0" w:afterAutospacing="0"/>
              <w:ind w:left="0" w:right="0"/>
              <w:rPr>
                <w:rFonts w:hint="default"/>
                <w:color w:val="auto"/>
                <w:highlight w:val="none"/>
              </w:rPr>
            </w:pPr>
          </w:p>
        </w:tc>
        <w:tc>
          <w:tcPr>
            <w:tcW w:w="3840" w:type="dxa"/>
            <w:gridSpan w:val="2"/>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32"/>
                <w:highlight w:val="none"/>
              </w:rPr>
            </w:pPr>
          </w:p>
        </w:tc>
        <w:tc>
          <w:tcPr>
            <w:tcW w:w="3496" w:type="dxa"/>
            <w:gridSpan w:val="5"/>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458" w:hRule="exact"/>
          <w:jc w:val="center"/>
        </w:trPr>
        <w:tc>
          <w:tcPr>
            <w:tcW w:w="3152" w:type="dxa"/>
            <w:gridSpan w:val="5"/>
            <w:noWrap w:val="0"/>
            <w:vAlign w:val="top"/>
          </w:tcPr>
          <w:p>
            <w:pPr>
              <w:pStyle w:val="10"/>
              <w:keepNext w:val="0"/>
              <w:keepLines w:val="0"/>
              <w:suppressLineNumbers w:val="0"/>
              <w:spacing w:beforeAutospacing="0" w:after="0" w:afterAutospacing="0"/>
              <w:ind w:left="0" w:right="0"/>
              <w:rPr>
                <w:rFonts w:hint="default"/>
                <w:color w:val="auto"/>
                <w:highlight w:val="none"/>
              </w:rPr>
            </w:pPr>
          </w:p>
        </w:tc>
        <w:tc>
          <w:tcPr>
            <w:tcW w:w="3840" w:type="dxa"/>
            <w:gridSpan w:val="2"/>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32"/>
                <w:highlight w:val="none"/>
              </w:rPr>
            </w:pPr>
          </w:p>
        </w:tc>
        <w:tc>
          <w:tcPr>
            <w:tcW w:w="3496" w:type="dxa"/>
            <w:gridSpan w:val="5"/>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458" w:hRule="exact"/>
          <w:jc w:val="center"/>
        </w:trPr>
        <w:tc>
          <w:tcPr>
            <w:tcW w:w="3152" w:type="dxa"/>
            <w:gridSpan w:val="5"/>
            <w:noWrap w:val="0"/>
            <w:vAlign w:val="top"/>
          </w:tcPr>
          <w:p>
            <w:pPr>
              <w:pStyle w:val="10"/>
              <w:keepNext w:val="0"/>
              <w:keepLines w:val="0"/>
              <w:suppressLineNumbers w:val="0"/>
              <w:spacing w:beforeAutospacing="0" w:after="0" w:afterAutospacing="0"/>
              <w:ind w:left="0" w:right="0"/>
              <w:rPr>
                <w:rFonts w:hint="default"/>
                <w:color w:val="auto"/>
                <w:highlight w:val="none"/>
              </w:rPr>
            </w:pPr>
          </w:p>
        </w:tc>
        <w:tc>
          <w:tcPr>
            <w:tcW w:w="3840" w:type="dxa"/>
            <w:gridSpan w:val="2"/>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32"/>
                <w:highlight w:val="none"/>
              </w:rPr>
            </w:pPr>
          </w:p>
        </w:tc>
        <w:tc>
          <w:tcPr>
            <w:tcW w:w="3496" w:type="dxa"/>
            <w:gridSpan w:val="5"/>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bl>
    <w:tbl>
      <w:tblPr>
        <w:tblStyle w:val="31"/>
        <w:tblpPr w:leftFromText="180" w:rightFromText="180" w:vertAnchor="text" w:horzAnchor="page" w:tblpXSpec="center" w:tblpY="482"/>
        <w:tblOverlap w:val="never"/>
        <w:tblW w:w="10373" w:type="dxa"/>
        <w:jc w:val="center"/>
        <w:tblLayout w:type="fixed"/>
        <w:tblCellMar>
          <w:top w:w="0" w:type="dxa"/>
          <w:left w:w="0" w:type="dxa"/>
          <w:bottom w:w="0" w:type="dxa"/>
          <w:right w:w="0" w:type="dxa"/>
        </w:tblCellMar>
      </w:tblPr>
      <w:tblGrid>
        <w:gridCol w:w="903"/>
        <w:gridCol w:w="1690"/>
        <w:gridCol w:w="115"/>
        <w:gridCol w:w="115"/>
        <w:gridCol w:w="229"/>
        <w:gridCol w:w="100"/>
        <w:gridCol w:w="903"/>
        <w:gridCol w:w="229"/>
        <w:gridCol w:w="2823"/>
        <w:gridCol w:w="229"/>
        <w:gridCol w:w="1920"/>
        <w:gridCol w:w="115"/>
        <w:gridCol w:w="1002"/>
      </w:tblGrid>
      <w:tr>
        <w:tblPrEx>
          <w:tblCellMar>
            <w:top w:w="0" w:type="dxa"/>
            <w:left w:w="0" w:type="dxa"/>
            <w:bottom w:w="0" w:type="dxa"/>
            <w:right w:w="0" w:type="dxa"/>
          </w:tblCellMar>
        </w:tblPrEx>
        <w:trPr>
          <w:trHeight w:val="1017" w:hRule="exact"/>
          <w:jc w:val="center"/>
        </w:trPr>
        <w:tc>
          <w:tcPr>
            <w:tcW w:w="10373" w:type="dxa"/>
            <w:gridSpan w:val="13"/>
            <w:tcBorders>
              <w:top w:val="nil"/>
              <w:left w:val="nil"/>
              <w:bottom w:val="nil"/>
              <w:right w:val="nil"/>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color w:val="auto"/>
                <w:spacing w:val="-2"/>
                <w:sz w:val="42"/>
                <w:highlight w:val="none"/>
              </w:rPr>
            </w:pPr>
            <w:r>
              <w:rPr>
                <w:rFonts w:hint="eastAsia" w:ascii="宋体" w:hAnsi="宋体" w:cs="宋体"/>
                <w:b/>
                <w:color w:val="auto"/>
                <w:spacing w:val="-2"/>
                <w:sz w:val="42"/>
                <w:highlight w:val="none"/>
                <w:lang w:eastAsia="zh-CN"/>
              </w:rPr>
              <w:t>首轮谈判总价</w:t>
            </w:r>
          </w:p>
        </w:tc>
      </w:tr>
      <w:tr>
        <w:tblPrEx>
          <w:tblCellMar>
            <w:top w:w="0" w:type="dxa"/>
            <w:left w:w="0" w:type="dxa"/>
            <w:bottom w:w="0" w:type="dxa"/>
            <w:right w:w="0" w:type="dxa"/>
          </w:tblCellMar>
        </w:tblPrEx>
        <w:trPr>
          <w:trHeight w:val="574" w:hRule="exact"/>
          <w:jc w:val="center"/>
        </w:trPr>
        <w:tc>
          <w:tcPr>
            <w:tcW w:w="10373" w:type="dxa"/>
            <w:gridSpan w:val="13"/>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rPr>
          <w:trHeight w:val="1002" w:hRule="exact"/>
          <w:jc w:val="center"/>
        </w:trPr>
        <w:tc>
          <w:tcPr>
            <w:tcW w:w="903"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690" w:type="dxa"/>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4"/>
                <w:highlight w:val="none"/>
              </w:rPr>
            </w:pPr>
            <w:r>
              <w:rPr>
                <w:rFonts w:hint="eastAsia" w:ascii="宋体" w:hAnsi="宋体" w:cs="宋体"/>
                <w:color w:val="auto"/>
                <w:spacing w:val="-2"/>
                <w:sz w:val="24"/>
                <w:highlight w:val="none"/>
                <w:lang w:val="en-US" w:eastAsia="zh-CN"/>
              </w:rPr>
              <w:t>采  购</w:t>
            </w:r>
            <w:r>
              <w:rPr>
                <w:rFonts w:hint="default" w:ascii="宋体" w:hAnsi="宋体" w:eastAsia="宋体" w:cs="宋体"/>
                <w:color w:val="auto"/>
                <w:spacing w:val="-2"/>
                <w:sz w:val="24"/>
                <w:highlight w:val="none"/>
              </w:rPr>
              <w:t xml:space="preserve">  人：</w:t>
            </w:r>
          </w:p>
        </w:tc>
        <w:tc>
          <w:tcPr>
            <w:tcW w:w="115"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663" w:type="dxa"/>
            <w:gridSpan w:val="9"/>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4"/>
                <w:highlight w:val="none"/>
              </w:rPr>
            </w:pPr>
          </w:p>
        </w:tc>
        <w:tc>
          <w:tcPr>
            <w:tcW w:w="1002"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230" w:hRule="exact"/>
          <w:jc w:val="center"/>
        </w:trPr>
        <w:tc>
          <w:tcPr>
            <w:tcW w:w="2708" w:type="dxa"/>
            <w:gridSpan w:val="3"/>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663" w:type="dxa"/>
            <w:gridSpan w:val="9"/>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002"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017" w:hRule="exact"/>
          <w:jc w:val="center"/>
        </w:trPr>
        <w:tc>
          <w:tcPr>
            <w:tcW w:w="903"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690" w:type="dxa"/>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4"/>
                <w:highlight w:val="none"/>
              </w:rPr>
            </w:pPr>
            <w:r>
              <w:rPr>
                <w:rFonts w:hint="default" w:ascii="宋体" w:hAnsi="宋体" w:eastAsia="宋体" w:cs="宋体"/>
                <w:color w:val="auto"/>
                <w:spacing w:val="-2"/>
                <w:sz w:val="24"/>
                <w:highlight w:val="none"/>
              </w:rPr>
              <w:t>工 程 名 称：</w:t>
            </w:r>
          </w:p>
        </w:tc>
        <w:tc>
          <w:tcPr>
            <w:tcW w:w="115"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663" w:type="dxa"/>
            <w:gridSpan w:val="9"/>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4"/>
                <w:highlight w:val="none"/>
              </w:rPr>
            </w:pPr>
          </w:p>
        </w:tc>
        <w:tc>
          <w:tcPr>
            <w:tcW w:w="1002"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229" w:hRule="exact"/>
          <w:jc w:val="center"/>
        </w:trPr>
        <w:tc>
          <w:tcPr>
            <w:tcW w:w="2708" w:type="dxa"/>
            <w:gridSpan w:val="3"/>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663" w:type="dxa"/>
            <w:gridSpan w:val="9"/>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002"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044" w:hRule="exact"/>
          <w:jc w:val="center"/>
        </w:trPr>
        <w:tc>
          <w:tcPr>
            <w:tcW w:w="903"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2149" w:type="dxa"/>
            <w:gridSpan w:val="4"/>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4"/>
                <w:highlight w:val="none"/>
              </w:rPr>
            </w:pPr>
            <w:r>
              <w:rPr>
                <w:rFonts w:hint="eastAsia" w:ascii="宋体" w:hAnsi="宋体" w:cs="宋体"/>
                <w:color w:val="auto"/>
                <w:spacing w:val="-2"/>
                <w:sz w:val="24"/>
                <w:highlight w:val="none"/>
                <w:lang w:eastAsia="zh-CN"/>
              </w:rPr>
              <w:t>首轮谈判总价</w:t>
            </w:r>
            <w:r>
              <w:rPr>
                <w:rFonts w:hint="default" w:ascii="宋体" w:hAnsi="宋体" w:eastAsia="宋体" w:cs="宋体"/>
                <w:color w:val="auto"/>
                <w:spacing w:val="-2"/>
                <w:sz w:val="24"/>
                <w:highlight w:val="none"/>
              </w:rPr>
              <w:t>（小写）：</w:t>
            </w:r>
          </w:p>
        </w:tc>
        <w:tc>
          <w:tcPr>
            <w:tcW w:w="100"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219" w:type="dxa"/>
            <w:gridSpan w:val="6"/>
            <w:tcBorders>
              <w:top w:val="nil"/>
              <w:left w:val="nil"/>
              <w:bottom w:val="nil"/>
              <w:right w:val="nil"/>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4"/>
                <w:highlight w:val="none"/>
              </w:rPr>
            </w:pPr>
          </w:p>
        </w:tc>
        <w:tc>
          <w:tcPr>
            <w:tcW w:w="1002"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15" w:hRule="exact"/>
          <w:jc w:val="center"/>
        </w:trPr>
        <w:tc>
          <w:tcPr>
            <w:tcW w:w="3152" w:type="dxa"/>
            <w:gridSpan w:val="6"/>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219" w:type="dxa"/>
            <w:gridSpan w:val="6"/>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002"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459" w:hRule="exact"/>
          <w:jc w:val="center"/>
        </w:trPr>
        <w:tc>
          <w:tcPr>
            <w:tcW w:w="903"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2149" w:type="dxa"/>
            <w:gridSpan w:val="4"/>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4"/>
                <w:highlight w:val="none"/>
              </w:rPr>
            </w:pPr>
            <w:r>
              <w:rPr>
                <w:rFonts w:hint="default" w:ascii="宋体" w:hAnsi="宋体" w:eastAsia="宋体" w:cs="宋体"/>
                <w:color w:val="auto"/>
                <w:spacing w:val="-2"/>
                <w:sz w:val="24"/>
                <w:highlight w:val="none"/>
              </w:rPr>
              <w:t xml:space="preserve">        （大写）：</w:t>
            </w:r>
          </w:p>
        </w:tc>
        <w:tc>
          <w:tcPr>
            <w:tcW w:w="100"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219" w:type="dxa"/>
            <w:gridSpan w:val="6"/>
            <w:tcBorders>
              <w:top w:val="nil"/>
              <w:left w:val="nil"/>
              <w:bottom w:val="nil"/>
              <w:right w:val="nil"/>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4"/>
                <w:highlight w:val="none"/>
              </w:rPr>
            </w:pPr>
          </w:p>
        </w:tc>
        <w:tc>
          <w:tcPr>
            <w:tcW w:w="1002"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214" w:hRule="exact"/>
          <w:jc w:val="center"/>
        </w:trPr>
        <w:tc>
          <w:tcPr>
            <w:tcW w:w="3152" w:type="dxa"/>
            <w:gridSpan w:val="6"/>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219" w:type="dxa"/>
            <w:gridSpan w:val="6"/>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002"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018" w:hRule="exact"/>
          <w:jc w:val="center"/>
        </w:trPr>
        <w:tc>
          <w:tcPr>
            <w:tcW w:w="903"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690" w:type="dxa"/>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4"/>
                <w:highlight w:val="none"/>
              </w:rPr>
            </w:pPr>
            <w:r>
              <w:rPr>
                <w:rFonts w:hint="eastAsia" w:ascii="宋体" w:hAnsi="宋体" w:cs="宋体"/>
                <w:color w:val="auto"/>
                <w:spacing w:val="-2"/>
                <w:sz w:val="24"/>
                <w:highlight w:val="none"/>
                <w:lang w:val="en-US" w:eastAsia="zh-CN"/>
              </w:rPr>
              <w:t>谈判响应</w:t>
            </w:r>
            <w:r>
              <w:rPr>
                <w:rFonts w:hint="default" w:ascii="宋体" w:hAnsi="宋体" w:eastAsia="宋体" w:cs="宋体"/>
                <w:color w:val="auto"/>
                <w:spacing w:val="-2"/>
                <w:sz w:val="24"/>
                <w:highlight w:val="none"/>
              </w:rPr>
              <w:t>人：</w:t>
            </w:r>
          </w:p>
        </w:tc>
        <w:tc>
          <w:tcPr>
            <w:tcW w:w="115"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663" w:type="dxa"/>
            <w:gridSpan w:val="9"/>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4"/>
                <w:highlight w:val="none"/>
              </w:rPr>
            </w:pPr>
          </w:p>
        </w:tc>
        <w:tc>
          <w:tcPr>
            <w:tcW w:w="1002"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458" w:hRule="exact"/>
          <w:jc w:val="center"/>
        </w:trPr>
        <w:tc>
          <w:tcPr>
            <w:tcW w:w="2708" w:type="dxa"/>
            <w:gridSpan w:val="3"/>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576" w:type="dxa"/>
            <w:gridSpan w:val="5"/>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3052" w:type="dxa"/>
            <w:gridSpan w:val="2"/>
            <w:tcBorders>
              <w:top w:val="nil"/>
              <w:left w:val="nil"/>
              <w:bottom w:val="nil"/>
              <w:right w:val="nil"/>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0"/>
                <w:highlight w:val="none"/>
              </w:rPr>
            </w:pPr>
            <w:r>
              <w:rPr>
                <w:rFonts w:hint="default" w:ascii="宋体" w:hAnsi="宋体" w:eastAsia="宋体" w:cs="宋体"/>
                <w:color w:val="auto"/>
                <w:spacing w:val="-2"/>
                <w:sz w:val="20"/>
                <w:highlight w:val="none"/>
              </w:rPr>
              <w:t>（单位盖章）</w:t>
            </w:r>
          </w:p>
        </w:tc>
        <w:tc>
          <w:tcPr>
            <w:tcW w:w="2035" w:type="dxa"/>
            <w:gridSpan w:val="2"/>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002"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674" w:hRule="exact"/>
          <w:jc w:val="center"/>
        </w:trPr>
        <w:tc>
          <w:tcPr>
            <w:tcW w:w="10373" w:type="dxa"/>
            <w:gridSpan w:val="13"/>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132" w:hRule="exact"/>
          <w:jc w:val="center"/>
        </w:trPr>
        <w:tc>
          <w:tcPr>
            <w:tcW w:w="903"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805" w:type="dxa"/>
            <w:gridSpan w:val="2"/>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4"/>
                <w:highlight w:val="none"/>
              </w:rPr>
            </w:pPr>
            <w:r>
              <w:rPr>
                <w:rFonts w:hint="default" w:ascii="宋体" w:hAnsi="宋体" w:eastAsia="宋体" w:cs="宋体"/>
                <w:color w:val="auto"/>
                <w:spacing w:val="-2"/>
                <w:sz w:val="24"/>
                <w:highlight w:val="none"/>
              </w:rPr>
              <w:t>法定代表人</w:t>
            </w:r>
          </w:p>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4"/>
                <w:highlight w:val="none"/>
              </w:rPr>
            </w:pPr>
            <w:r>
              <w:rPr>
                <w:rFonts w:hint="default" w:ascii="宋体" w:hAnsi="宋体" w:eastAsia="宋体" w:cs="宋体"/>
                <w:color w:val="auto"/>
                <w:spacing w:val="-2"/>
                <w:sz w:val="24"/>
                <w:highlight w:val="none"/>
              </w:rPr>
              <w:t>或其</w:t>
            </w:r>
            <w:r>
              <w:rPr>
                <w:rFonts w:hint="eastAsia" w:ascii="宋体" w:hAnsi="宋体" w:eastAsia="宋体" w:cs="宋体"/>
                <w:color w:val="auto"/>
                <w:spacing w:val="-2"/>
                <w:sz w:val="24"/>
                <w:highlight w:val="none"/>
                <w:lang w:val="en-US" w:eastAsia="zh-CN"/>
              </w:rPr>
              <w:t>委托代理</w:t>
            </w:r>
            <w:r>
              <w:rPr>
                <w:rFonts w:hint="default" w:ascii="宋体" w:hAnsi="宋体" w:eastAsia="宋体" w:cs="宋体"/>
                <w:color w:val="auto"/>
                <w:spacing w:val="-2"/>
                <w:sz w:val="24"/>
                <w:highlight w:val="none"/>
              </w:rPr>
              <w:t>人：</w:t>
            </w:r>
          </w:p>
        </w:tc>
        <w:tc>
          <w:tcPr>
            <w:tcW w:w="115"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6433" w:type="dxa"/>
            <w:gridSpan w:val="7"/>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4"/>
                <w:highlight w:val="none"/>
              </w:rPr>
            </w:pPr>
          </w:p>
        </w:tc>
        <w:tc>
          <w:tcPr>
            <w:tcW w:w="1117" w:type="dxa"/>
            <w:gridSpan w:val="2"/>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444" w:hRule="exact"/>
          <w:jc w:val="center"/>
        </w:trPr>
        <w:tc>
          <w:tcPr>
            <w:tcW w:w="2823" w:type="dxa"/>
            <w:gridSpan w:val="4"/>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461" w:type="dxa"/>
            <w:gridSpan w:val="4"/>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3052" w:type="dxa"/>
            <w:gridSpan w:val="2"/>
            <w:tcBorders>
              <w:top w:val="nil"/>
              <w:left w:val="nil"/>
              <w:bottom w:val="nil"/>
              <w:right w:val="nil"/>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0"/>
                <w:highlight w:val="none"/>
              </w:rPr>
            </w:pPr>
            <w:r>
              <w:rPr>
                <w:rFonts w:hint="default" w:ascii="宋体" w:hAnsi="宋体" w:eastAsia="宋体" w:cs="宋体"/>
                <w:color w:val="auto"/>
                <w:spacing w:val="-2"/>
                <w:sz w:val="20"/>
                <w:highlight w:val="none"/>
              </w:rPr>
              <w:t>（签字或盖章）</w:t>
            </w:r>
          </w:p>
        </w:tc>
        <w:tc>
          <w:tcPr>
            <w:tcW w:w="1920"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117" w:type="dxa"/>
            <w:gridSpan w:val="2"/>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573" w:hRule="exact"/>
          <w:jc w:val="center"/>
        </w:trPr>
        <w:tc>
          <w:tcPr>
            <w:tcW w:w="10373" w:type="dxa"/>
            <w:gridSpan w:val="13"/>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rPr>
          <w:trHeight w:val="673" w:hRule="exact"/>
          <w:jc w:val="center"/>
        </w:trPr>
        <w:tc>
          <w:tcPr>
            <w:tcW w:w="903"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805" w:type="dxa"/>
            <w:gridSpan w:val="2"/>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4"/>
                <w:highlight w:val="none"/>
              </w:rPr>
            </w:pPr>
            <w:r>
              <w:rPr>
                <w:rFonts w:hint="default" w:ascii="宋体" w:hAnsi="宋体" w:eastAsia="宋体" w:cs="宋体"/>
                <w:color w:val="auto"/>
                <w:spacing w:val="-2"/>
                <w:sz w:val="24"/>
                <w:highlight w:val="none"/>
              </w:rPr>
              <w:t>编  制  人：</w:t>
            </w:r>
          </w:p>
        </w:tc>
        <w:tc>
          <w:tcPr>
            <w:tcW w:w="6548" w:type="dxa"/>
            <w:gridSpan w:val="8"/>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4"/>
                <w:highlight w:val="none"/>
              </w:rPr>
            </w:pPr>
          </w:p>
        </w:tc>
        <w:tc>
          <w:tcPr>
            <w:tcW w:w="1117" w:type="dxa"/>
            <w:gridSpan w:val="2"/>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702" w:hRule="exact"/>
          <w:jc w:val="center"/>
        </w:trPr>
        <w:tc>
          <w:tcPr>
            <w:tcW w:w="2708" w:type="dxa"/>
            <w:gridSpan w:val="3"/>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576" w:type="dxa"/>
            <w:gridSpan w:val="5"/>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3052" w:type="dxa"/>
            <w:gridSpan w:val="2"/>
            <w:tcBorders>
              <w:top w:val="nil"/>
              <w:left w:val="nil"/>
              <w:bottom w:val="nil"/>
              <w:right w:val="nil"/>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0"/>
                <w:highlight w:val="none"/>
              </w:rPr>
            </w:pPr>
            <w:r>
              <w:rPr>
                <w:rFonts w:hint="eastAsia" w:ascii="宋体" w:hAnsi="宋体" w:eastAsia="宋体" w:cs="宋体"/>
                <w:color w:val="auto"/>
                <w:spacing w:val="-2"/>
                <w:sz w:val="20"/>
                <w:highlight w:val="none"/>
              </w:rPr>
              <w:t>(盖造价专业人员执业专用章或电子执业章)</w:t>
            </w:r>
          </w:p>
        </w:tc>
        <w:tc>
          <w:tcPr>
            <w:tcW w:w="1920" w:type="dxa"/>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117" w:type="dxa"/>
            <w:gridSpan w:val="2"/>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574" w:hRule="exact"/>
          <w:jc w:val="center"/>
        </w:trPr>
        <w:tc>
          <w:tcPr>
            <w:tcW w:w="10373" w:type="dxa"/>
            <w:gridSpan w:val="13"/>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673" w:hRule="exact"/>
          <w:jc w:val="center"/>
        </w:trPr>
        <w:tc>
          <w:tcPr>
            <w:tcW w:w="3052" w:type="dxa"/>
            <w:gridSpan w:val="5"/>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003" w:type="dxa"/>
            <w:gridSpan w:val="2"/>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4"/>
                <w:highlight w:val="none"/>
              </w:rPr>
            </w:pPr>
            <w:r>
              <w:rPr>
                <w:rFonts w:hint="default" w:ascii="宋体" w:hAnsi="宋体" w:eastAsia="宋体" w:cs="宋体"/>
                <w:color w:val="auto"/>
                <w:spacing w:val="-2"/>
                <w:sz w:val="24"/>
                <w:highlight w:val="none"/>
              </w:rPr>
              <w:t>时 间：</w:t>
            </w:r>
          </w:p>
        </w:tc>
        <w:tc>
          <w:tcPr>
            <w:tcW w:w="3052" w:type="dxa"/>
            <w:gridSpan w:val="2"/>
            <w:tcBorders>
              <w:top w:val="nil"/>
              <w:left w:val="nil"/>
              <w:bottom w:val="nil"/>
              <w:right w:val="nil"/>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4"/>
                <w:highlight w:val="none"/>
              </w:rPr>
            </w:pPr>
            <w:r>
              <w:rPr>
                <w:rFonts w:hint="default" w:ascii="宋体" w:hAnsi="宋体" w:eastAsia="宋体" w:cs="宋体"/>
                <w:color w:val="auto"/>
                <w:spacing w:val="-2"/>
                <w:sz w:val="24"/>
                <w:highlight w:val="none"/>
              </w:rPr>
              <w:t>年   月   日</w:t>
            </w:r>
          </w:p>
        </w:tc>
        <w:tc>
          <w:tcPr>
            <w:tcW w:w="3266" w:type="dxa"/>
            <w:gridSpan w:val="4"/>
            <w:tcBorders>
              <w:top w:val="nil"/>
              <w:left w:val="nil"/>
              <w:bottom w:val="nil"/>
              <w:right w:val="nil"/>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bl>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0"/>
          <w:highlight w:val="none"/>
        </w:rPr>
      </w:pPr>
    </w:p>
    <w:p>
      <w:pPr>
        <w:pageBreakBefore w:val="0"/>
        <w:kinsoku/>
        <w:wordWrap/>
        <w:overflowPunct/>
        <w:topLinePunct w:val="0"/>
        <w:bidi w:val="0"/>
        <w:spacing w:line="240" w:lineRule="auto"/>
        <w:rPr>
          <w:color w:val="auto"/>
          <w:highlight w:val="none"/>
        </w:rPr>
      </w:pPr>
    </w:p>
    <w:p>
      <w:pPr>
        <w:pageBreakBefore w:val="0"/>
        <w:kinsoku/>
        <w:wordWrap/>
        <w:overflowPunct/>
        <w:topLinePunct w:val="0"/>
        <w:bidi w:val="0"/>
        <w:spacing w:line="240" w:lineRule="auto"/>
        <w:rPr>
          <w:color w:val="auto"/>
          <w:highlight w:val="none"/>
        </w:rPr>
      </w:pPr>
    </w:p>
    <w:p>
      <w:pPr>
        <w:pageBreakBefore w:val="0"/>
        <w:kinsoku/>
        <w:wordWrap/>
        <w:overflowPunct/>
        <w:topLinePunct w:val="0"/>
        <w:bidi w:val="0"/>
        <w:spacing w:line="240" w:lineRule="auto"/>
        <w:rPr>
          <w:color w:val="auto"/>
          <w:highlight w:val="none"/>
        </w:rPr>
      </w:pPr>
    </w:p>
    <w:p>
      <w:pPr>
        <w:pageBreakBefore w:val="0"/>
        <w:kinsoku/>
        <w:wordWrap/>
        <w:overflowPunct/>
        <w:topLinePunct w:val="0"/>
        <w:bidi w:val="0"/>
        <w:adjustRightInd w:val="0"/>
        <w:snapToGrid w:val="0"/>
        <w:spacing w:beforeAutospacing="0" w:afterAutospacing="0" w:line="240" w:lineRule="auto"/>
        <w:jc w:val="center"/>
        <w:rPr>
          <w:rFonts w:hint="eastAsia" w:ascii="宋体" w:hAnsi="宋体" w:eastAsia="宋体" w:cs="宋体"/>
          <w:color w:val="auto"/>
          <w:sz w:val="32"/>
          <w:szCs w:val="32"/>
          <w:highlight w:val="none"/>
        </w:rPr>
      </w:pPr>
    </w:p>
    <w:tbl>
      <w:tblPr>
        <w:tblStyle w:val="31"/>
        <w:tblW w:w="0" w:type="auto"/>
        <w:tblInd w:w="0" w:type="dxa"/>
        <w:tblLayout w:type="fixed"/>
        <w:tblCellMar>
          <w:top w:w="0" w:type="dxa"/>
          <w:left w:w="0" w:type="dxa"/>
          <w:bottom w:w="0" w:type="dxa"/>
          <w:right w:w="0" w:type="dxa"/>
        </w:tblCellMar>
      </w:tblPr>
      <w:tblGrid>
        <w:gridCol w:w="6591"/>
        <w:gridCol w:w="2329"/>
      </w:tblGrid>
      <w:tr>
        <w:tblPrEx>
          <w:tblCellMar>
            <w:top w:w="0" w:type="dxa"/>
            <w:left w:w="0" w:type="dxa"/>
            <w:bottom w:w="0" w:type="dxa"/>
            <w:right w:w="0" w:type="dxa"/>
          </w:tblCellMar>
        </w:tblPrEx>
        <w:trPr>
          <w:trHeight w:val="1594" w:hRule="exact"/>
        </w:trPr>
        <w:tc>
          <w:tcPr>
            <w:tcW w:w="6591" w:type="dxa"/>
            <w:tcBorders>
              <w:bottom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color w:val="auto"/>
                <w:spacing w:val="-2"/>
                <w:sz w:val="42"/>
                <w:highlight w:val="none"/>
                <w:lang w:eastAsia="zh-CN"/>
              </w:rPr>
            </w:pPr>
            <w:r>
              <w:rPr>
                <w:rFonts w:hint="eastAsia" w:ascii="宋体" w:hAnsi="宋体" w:eastAsia="宋体" w:cs="宋体"/>
                <w:b/>
                <w:color w:val="auto"/>
                <w:spacing w:val="-2"/>
                <w:sz w:val="42"/>
                <w:highlight w:val="none"/>
                <w:lang w:val="en-US" w:eastAsia="zh-CN"/>
              </w:rPr>
              <w:t xml:space="preserve">            </w:t>
            </w:r>
            <w:r>
              <w:rPr>
                <w:rFonts w:hint="eastAsia" w:ascii="宋体" w:hAnsi="宋体" w:eastAsia="宋体" w:cs="宋体"/>
                <w:b/>
                <w:color w:val="auto"/>
                <w:spacing w:val="-2"/>
                <w:sz w:val="42"/>
                <w:highlight w:val="none"/>
                <w:lang w:eastAsia="zh-CN"/>
              </w:rPr>
              <w:t>总说明</w:t>
            </w:r>
          </w:p>
          <w:p>
            <w:pPr>
              <w:keepNext w:val="0"/>
              <w:keepLines w:val="0"/>
              <w:pageBreakBefore w:val="0"/>
              <w:suppressLineNumbers w:val="0"/>
              <w:kinsoku/>
              <w:wordWrap/>
              <w:overflowPunct/>
              <w:topLinePunct w:val="0"/>
              <w:bidi w:val="0"/>
              <w:spacing w:before="0" w:beforeAutospacing="0" w:after="0" w:afterAutospacing="0" w:line="240" w:lineRule="auto"/>
              <w:ind w:left="0" w:right="0"/>
              <w:jc w:val="both"/>
              <w:rPr>
                <w:rFonts w:hint="default" w:ascii="黑体" w:hAnsi="黑体" w:eastAsia="黑体" w:cs="黑体"/>
                <w:color w:val="auto"/>
                <w:spacing w:val="-2"/>
                <w:sz w:val="21"/>
                <w:highlight w:val="none"/>
              </w:rPr>
            </w:pPr>
            <w:r>
              <w:rPr>
                <w:rFonts w:hint="default" w:ascii="黑体" w:hAnsi="黑体" w:eastAsia="黑体" w:cs="黑体"/>
                <w:color w:val="auto"/>
                <w:spacing w:val="-2"/>
                <w:sz w:val="21"/>
                <w:highlight w:val="none"/>
              </w:rPr>
              <w:t>工程名称：</w:t>
            </w:r>
          </w:p>
        </w:tc>
        <w:tc>
          <w:tcPr>
            <w:tcW w:w="2329" w:type="dxa"/>
            <w:tcBorders>
              <w:bottom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黑体" w:hAnsi="黑体" w:eastAsia="黑体" w:cs="黑体"/>
                <w:color w:val="auto"/>
                <w:spacing w:val="-2"/>
                <w:sz w:val="21"/>
                <w:highlight w:val="none"/>
              </w:rPr>
            </w:pPr>
          </w:p>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黑体" w:hAnsi="黑体" w:eastAsia="黑体" w:cs="黑体"/>
                <w:color w:val="auto"/>
                <w:spacing w:val="-2"/>
                <w:sz w:val="21"/>
                <w:highlight w:val="none"/>
              </w:rPr>
            </w:pPr>
          </w:p>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黑体" w:hAnsi="黑体" w:eastAsia="黑体" w:cs="黑体"/>
                <w:color w:val="auto"/>
                <w:spacing w:val="-2"/>
                <w:sz w:val="21"/>
                <w:highlight w:val="none"/>
              </w:rPr>
            </w:pPr>
            <w:r>
              <w:rPr>
                <w:rFonts w:hint="default" w:ascii="黑体" w:hAnsi="黑体" w:eastAsia="黑体" w:cs="黑体"/>
                <w:color w:val="auto"/>
                <w:spacing w:val="-2"/>
                <w:sz w:val="21"/>
                <w:highlight w:val="none"/>
              </w:rPr>
              <w:t>第   页 共   页</w:t>
            </w:r>
          </w:p>
        </w:tc>
      </w:tr>
      <w:tr>
        <w:tblPrEx>
          <w:tblCellMar>
            <w:top w:w="0" w:type="dxa"/>
            <w:left w:w="0" w:type="dxa"/>
            <w:bottom w:w="0" w:type="dxa"/>
            <w:right w:w="0" w:type="dxa"/>
          </w:tblCellMar>
        </w:tblPrEx>
        <w:trPr>
          <w:trHeight w:val="374" w:hRule="exact"/>
        </w:trPr>
        <w:tc>
          <w:tcPr>
            <w:tcW w:w="8920" w:type="dxa"/>
            <w:gridSpan w:val="2"/>
            <w:tcBorders>
              <w:top w:val="single" w:color="000000" w:sz="10" w:space="0"/>
              <w:left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209" w:hRule="exact"/>
        </w:trPr>
        <w:tc>
          <w:tcPr>
            <w:tcW w:w="8920" w:type="dxa"/>
            <w:gridSpan w:val="2"/>
            <w:tcBorders>
              <w:left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rPr>
          <w:trHeight w:val="1208" w:hRule="exact"/>
        </w:trPr>
        <w:tc>
          <w:tcPr>
            <w:tcW w:w="8920" w:type="dxa"/>
            <w:gridSpan w:val="2"/>
            <w:tcBorders>
              <w:left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rPr>
          <w:trHeight w:val="1209" w:hRule="exact"/>
        </w:trPr>
        <w:tc>
          <w:tcPr>
            <w:tcW w:w="8920" w:type="dxa"/>
            <w:gridSpan w:val="2"/>
            <w:tcBorders>
              <w:left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rPr>
          <w:trHeight w:val="1209" w:hRule="exact"/>
        </w:trPr>
        <w:tc>
          <w:tcPr>
            <w:tcW w:w="8920" w:type="dxa"/>
            <w:gridSpan w:val="2"/>
            <w:tcBorders>
              <w:left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209" w:hRule="exact"/>
        </w:trPr>
        <w:tc>
          <w:tcPr>
            <w:tcW w:w="8920" w:type="dxa"/>
            <w:gridSpan w:val="2"/>
            <w:tcBorders>
              <w:left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rPr>
          <w:trHeight w:val="1209" w:hRule="exact"/>
        </w:trPr>
        <w:tc>
          <w:tcPr>
            <w:tcW w:w="8920" w:type="dxa"/>
            <w:gridSpan w:val="2"/>
            <w:tcBorders>
              <w:left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blPrEx>
          <w:tblCellMar>
            <w:top w:w="0" w:type="dxa"/>
            <w:left w:w="0" w:type="dxa"/>
            <w:bottom w:w="0" w:type="dxa"/>
            <w:right w:w="0" w:type="dxa"/>
          </w:tblCellMar>
        </w:tblPrEx>
        <w:trPr>
          <w:trHeight w:val="1208" w:hRule="exact"/>
        </w:trPr>
        <w:tc>
          <w:tcPr>
            <w:tcW w:w="8920" w:type="dxa"/>
            <w:gridSpan w:val="2"/>
            <w:tcBorders>
              <w:left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rPr>
          <w:trHeight w:val="1209" w:hRule="exact"/>
        </w:trPr>
        <w:tc>
          <w:tcPr>
            <w:tcW w:w="8920" w:type="dxa"/>
            <w:gridSpan w:val="2"/>
            <w:tcBorders>
              <w:left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rPr>
          <w:trHeight w:val="821" w:hRule="exact"/>
        </w:trPr>
        <w:tc>
          <w:tcPr>
            <w:tcW w:w="8920" w:type="dxa"/>
            <w:gridSpan w:val="2"/>
            <w:tcBorders>
              <w:left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r>
        <w:trPr>
          <w:trHeight w:val="127" w:hRule="exact"/>
        </w:trPr>
        <w:tc>
          <w:tcPr>
            <w:tcW w:w="8920" w:type="dxa"/>
            <w:gridSpan w:val="2"/>
            <w:tcBorders>
              <w:left w:val="single" w:color="000000" w:sz="10" w:space="0"/>
              <w:bottom w:val="single" w:color="000000" w:sz="10" w:space="0"/>
              <w:right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r>
    </w:tbl>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tbl>
      <w:tblPr>
        <w:tblStyle w:val="31"/>
        <w:tblW w:w="0" w:type="auto"/>
        <w:tblInd w:w="0" w:type="dxa"/>
        <w:tblLayout w:type="fixed"/>
        <w:tblCellMar>
          <w:top w:w="0" w:type="dxa"/>
          <w:left w:w="0" w:type="dxa"/>
          <w:bottom w:w="0" w:type="dxa"/>
          <w:right w:w="0" w:type="dxa"/>
        </w:tblCellMar>
      </w:tblPr>
      <w:tblGrid>
        <w:gridCol w:w="874"/>
        <w:gridCol w:w="3023"/>
        <w:gridCol w:w="1860"/>
        <w:gridCol w:w="504"/>
        <w:gridCol w:w="982"/>
        <w:gridCol w:w="64"/>
        <w:gridCol w:w="1691"/>
        <w:gridCol w:w="30"/>
      </w:tblGrid>
      <w:tr>
        <w:tblPrEx>
          <w:tblCellMar>
            <w:top w:w="0" w:type="dxa"/>
            <w:left w:w="0" w:type="dxa"/>
            <w:bottom w:w="0" w:type="dxa"/>
            <w:right w:w="0" w:type="dxa"/>
          </w:tblCellMar>
        </w:tblPrEx>
        <w:trPr>
          <w:trHeight w:val="673" w:hRule="exact"/>
        </w:trPr>
        <w:tc>
          <w:tcPr>
            <w:tcW w:w="9028" w:type="dxa"/>
            <w:gridSpan w:val="8"/>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color w:val="auto"/>
                <w:spacing w:val="-2"/>
                <w:sz w:val="32"/>
                <w:highlight w:val="none"/>
              </w:rPr>
            </w:pPr>
            <w:r>
              <w:rPr>
                <w:rFonts w:hint="eastAsia" w:ascii="宋体" w:hAnsi="宋体" w:eastAsia="宋体" w:cs="宋体"/>
                <w:b/>
                <w:color w:val="auto"/>
                <w:spacing w:val="-2"/>
                <w:sz w:val="32"/>
                <w:highlight w:val="none"/>
                <w:lang w:eastAsia="zh-CN"/>
              </w:rPr>
              <w:t>（一）</w:t>
            </w:r>
            <w:r>
              <w:rPr>
                <w:rFonts w:hint="default" w:ascii="宋体" w:hAnsi="宋体" w:eastAsia="宋体" w:cs="宋体"/>
                <w:b/>
                <w:color w:val="auto"/>
                <w:spacing w:val="-2"/>
                <w:sz w:val="32"/>
                <w:highlight w:val="none"/>
              </w:rPr>
              <w:t xml:space="preserve"> 建设项目</w:t>
            </w:r>
            <w:r>
              <w:rPr>
                <w:rFonts w:hint="eastAsia" w:ascii="宋体" w:hAnsi="宋体" w:cs="宋体"/>
                <w:b/>
                <w:color w:val="auto"/>
                <w:spacing w:val="-2"/>
                <w:sz w:val="32"/>
                <w:highlight w:val="none"/>
                <w:lang w:val="en-US" w:eastAsia="zh-CN"/>
              </w:rPr>
              <w:t>谈判</w:t>
            </w:r>
            <w:r>
              <w:rPr>
                <w:rFonts w:hint="default" w:ascii="宋体" w:hAnsi="宋体" w:eastAsia="宋体" w:cs="宋体"/>
                <w:b/>
                <w:color w:val="auto"/>
                <w:spacing w:val="-2"/>
                <w:sz w:val="32"/>
                <w:highlight w:val="none"/>
              </w:rPr>
              <w:t>报价汇总表</w:t>
            </w:r>
          </w:p>
        </w:tc>
      </w:tr>
      <w:tr>
        <w:tblPrEx>
          <w:tblCellMar>
            <w:top w:w="0" w:type="dxa"/>
            <w:left w:w="0" w:type="dxa"/>
            <w:bottom w:w="0" w:type="dxa"/>
            <w:right w:w="0" w:type="dxa"/>
          </w:tblCellMar>
        </w:tblPrEx>
        <w:trPr>
          <w:trHeight w:val="499" w:hRule="exact"/>
        </w:trPr>
        <w:tc>
          <w:tcPr>
            <w:tcW w:w="6261" w:type="dxa"/>
            <w:gridSpan w:val="4"/>
            <w:tcBorders>
              <w:bottom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黑体" w:hAnsi="黑体" w:eastAsia="黑体" w:cs="黑体"/>
                <w:color w:val="auto"/>
                <w:spacing w:val="-2"/>
                <w:sz w:val="21"/>
                <w:highlight w:val="none"/>
              </w:rPr>
            </w:pPr>
            <w:r>
              <w:rPr>
                <w:rFonts w:hint="default" w:ascii="黑体" w:hAnsi="黑体" w:eastAsia="黑体" w:cs="黑体"/>
                <w:color w:val="auto"/>
                <w:spacing w:val="-2"/>
                <w:sz w:val="21"/>
                <w:highlight w:val="none"/>
              </w:rPr>
              <w:t>工程名称：</w:t>
            </w:r>
          </w:p>
        </w:tc>
        <w:tc>
          <w:tcPr>
            <w:tcW w:w="1046" w:type="dxa"/>
            <w:gridSpan w:val="2"/>
            <w:tcBorders>
              <w:bottom w:val="single" w:color="000000" w:sz="10"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721" w:type="dxa"/>
            <w:gridSpan w:val="2"/>
            <w:tcBorders>
              <w:bottom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黑体" w:hAnsi="黑体" w:eastAsia="黑体" w:cs="黑体"/>
                <w:color w:val="auto"/>
                <w:spacing w:val="-2"/>
                <w:sz w:val="21"/>
                <w:highlight w:val="none"/>
              </w:rPr>
            </w:pPr>
            <w:r>
              <w:rPr>
                <w:rFonts w:hint="default" w:ascii="黑体" w:hAnsi="黑体" w:eastAsia="黑体" w:cs="黑体"/>
                <w:color w:val="auto"/>
                <w:spacing w:val="-2"/>
                <w:sz w:val="21"/>
                <w:highlight w:val="none"/>
              </w:rPr>
              <w:t>第   页 共   页</w:t>
            </w:r>
          </w:p>
        </w:tc>
      </w:tr>
      <w:tr>
        <w:tblPrEx>
          <w:tblCellMar>
            <w:top w:w="0" w:type="dxa"/>
            <w:left w:w="0" w:type="dxa"/>
            <w:bottom w:w="0" w:type="dxa"/>
            <w:right w:w="0" w:type="dxa"/>
          </w:tblCellMar>
        </w:tblPrEx>
        <w:trPr>
          <w:trHeight w:val="385" w:hRule="exact"/>
        </w:trPr>
        <w:tc>
          <w:tcPr>
            <w:tcW w:w="874" w:type="dxa"/>
            <w:vMerge w:val="restart"/>
            <w:tcBorders>
              <w:top w:val="single" w:color="000000" w:sz="10" w:space="0"/>
              <w:left w:val="single" w:color="000000" w:sz="10" w:space="0"/>
              <w:bottom w:val="single" w:color="000000" w:sz="4" w:space="0"/>
              <w:right w:val="single" w:color="000000" w:sz="4" w:space="0"/>
            </w:tcBorders>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黑体" w:hAnsi="黑体" w:eastAsia="黑体" w:cs="黑体"/>
                <w:color w:val="auto"/>
                <w:spacing w:val="-2"/>
                <w:sz w:val="21"/>
                <w:highlight w:val="none"/>
              </w:rPr>
            </w:pPr>
            <w:r>
              <w:rPr>
                <w:rFonts w:hint="default" w:ascii="黑体" w:hAnsi="黑体" w:eastAsia="黑体" w:cs="黑体"/>
                <w:color w:val="auto"/>
                <w:spacing w:val="-2"/>
                <w:sz w:val="21"/>
                <w:highlight w:val="none"/>
              </w:rPr>
              <w:t>序号</w:t>
            </w:r>
          </w:p>
        </w:tc>
        <w:tc>
          <w:tcPr>
            <w:tcW w:w="3023" w:type="dxa"/>
            <w:vMerge w:val="restart"/>
            <w:tcBorders>
              <w:top w:val="single" w:color="000000" w:sz="10"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黑体" w:hAnsi="黑体" w:eastAsia="黑体" w:cs="黑体"/>
                <w:color w:val="auto"/>
                <w:spacing w:val="-2"/>
                <w:sz w:val="21"/>
                <w:highlight w:val="none"/>
              </w:rPr>
            </w:pPr>
            <w:r>
              <w:rPr>
                <w:rFonts w:hint="default" w:ascii="黑体" w:hAnsi="黑体" w:eastAsia="黑体" w:cs="黑体"/>
                <w:color w:val="auto"/>
                <w:spacing w:val="-2"/>
                <w:sz w:val="21"/>
                <w:highlight w:val="none"/>
              </w:rPr>
              <w:t>单项工程名称</w:t>
            </w:r>
          </w:p>
        </w:tc>
        <w:tc>
          <w:tcPr>
            <w:tcW w:w="1860" w:type="dxa"/>
            <w:vMerge w:val="restart"/>
            <w:tcBorders>
              <w:top w:val="single" w:color="000000" w:sz="10"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黑体" w:hAnsi="黑体" w:eastAsia="黑体" w:cs="黑体"/>
                <w:color w:val="auto"/>
                <w:spacing w:val="-2"/>
                <w:sz w:val="21"/>
                <w:highlight w:val="none"/>
              </w:rPr>
            </w:pPr>
            <w:r>
              <w:rPr>
                <w:rFonts w:hint="default" w:ascii="黑体" w:hAnsi="黑体" w:eastAsia="黑体" w:cs="黑体"/>
                <w:color w:val="auto"/>
                <w:spacing w:val="-2"/>
                <w:sz w:val="21"/>
                <w:highlight w:val="none"/>
              </w:rPr>
              <w:t>金额(元)</w:t>
            </w:r>
          </w:p>
        </w:tc>
        <w:tc>
          <w:tcPr>
            <w:tcW w:w="3271" w:type="dxa"/>
            <w:gridSpan w:val="5"/>
            <w:tcBorders>
              <w:top w:val="single" w:color="000000" w:sz="10" w:space="0"/>
              <w:left w:val="single" w:color="000000" w:sz="4" w:space="0"/>
              <w:bottom w:val="single" w:color="000000" w:sz="4" w:space="0"/>
              <w:right w:val="single" w:color="000000" w:sz="10" w:space="0"/>
            </w:tcBorders>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黑体" w:hAnsi="黑体" w:eastAsia="黑体" w:cs="黑体"/>
                <w:color w:val="auto"/>
                <w:spacing w:val="-2"/>
                <w:sz w:val="21"/>
                <w:highlight w:val="none"/>
              </w:rPr>
            </w:pPr>
            <w:r>
              <w:rPr>
                <w:rFonts w:hint="default" w:ascii="黑体" w:hAnsi="黑体" w:eastAsia="黑体" w:cs="黑体"/>
                <w:color w:val="auto"/>
                <w:spacing w:val="-2"/>
                <w:sz w:val="21"/>
                <w:highlight w:val="none"/>
              </w:rPr>
              <w:t>其中：（元）</w:t>
            </w:r>
          </w:p>
        </w:tc>
      </w:tr>
      <w:tr>
        <w:tblPrEx>
          <w:tblCellMar>
            <w:top w:w="0" w:type="dxa"/>
            <w:left w:w="0" w:type="dxa"/>
            <w:bottom w:w="0" w:type="dxa"/>
            <w:right w:w="0" w:type="dxa"/>
          </w:tblCellMar>
        </w:tblPrEx>
        <w:trPr>
          <w:trHeight w:val="489" w:hRule="exact"/>
        </w:trPr>
        <w:tc>
          <w:tcPr>
            <w:tcW w:w="874" w:type="dxa"/>
            <w:vMerge w:val="continue"/>
            <w:tcBorders>
              <w:top w:val="single" w:color="000000" w:sz="10" w:space="0"/>
              <w:left w:val="single" w:color="000000" w:sz="10" w:space="0"/>
              <w:bottom w:val="single" w:color="000000" w:sz="4" w:space="0"/>
              <w:right w:val="single" w:color="000000" w:sz="4" w:space="0"/>
            </w:tcBorders>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3023" w:type="dxa"/>
            <w:vMerge w:val="continue"/>
            <w:tcBorders>
              <w:top w:val="single" w:color="000000" w:sz="10"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860" w:type="dxa"/>
            <w:vMerge w:val="continue"/>
            <w:tcBorders>
              <w:top w:val="single" w:color="000000" w:sz="10"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color w:val="auto"/>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黑体" w:hAnsi="黑体" w:eastAsia="黑体" w:cs="黑体"/>
                <w:color w:val="auto"/>
                <w:spacing w:val="-2"/>
                <w:sz w:val="21"/>
                <w:highlight w:val="none"/>
              </w:rPr>
            </w:pPr>
            <w:r>
              <w:rPr>
                <w:rFonts w:hint="default" w:ascii="黑体" w:hAnsi="黑体" w:eastAsia="黑体" w:cs="黑体"/>
                <w:color w:val="auto"/>
                <w:spacing w:val="-2"/>
                <w:sz w:val="21"/>
                <w:highlight w:val="none"/>
              </w:rPr>
              <w:t>暂估价</w:t>
            </w:r>
          </w:p>
        </w:tc>
        <w:tc>
          <w:tcPr>
            <w:tcW w:w="1785" w:type="dxa"/>
            <w:gridSpan w:val="3"/>
            <w:tcBorders>
              <w:top w:val="single" w:color="000000" w:sz="4" w:space="0"/>
              <w:left w:val="single" w:color="000000" w:sz="4" w:space="0"/>
              <w:bottom w:val="single" w:color="000000" w:sz="4" w:space="0"/>
              <w:right w:val="single" w:color="000000" w:sz="10" w:space="0"/>
            </w:tcBorders>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黑体" w:hAnsi="黑体" w:eastAsia="黑体" w:cs="黑体"/>
                <w:color w:val="auto"/>
                <w:spacing w:val="-2"/>
                <w:sz w:val="21"/>
                <w:highlight w:val="none"/>
              </w:rPr>
            </w:pPr>
            <w:r>
              <w:rPr>
                <w:rFonts w:hint="default" w:ascii="黑体" w:hAnsi="黑体" w:eastAsia="黑体" w:cs="黑体"/>
                <w:color w:val="auto"/>
                <w:spacing w:val="-2"/>
                <w:sz w:val="21"/>
                <w:highlight w:val="none"/>
              </w:rPr>
              <w:t>不可竞争费</w:t>
            </w: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r>
              <w:rPr>
                <w:rFonts w:hint="default" w:ascii="宋体" w:hAnsi="宋体" w:eastAsia="宋体" w:cs="宋体"/>
                <w:color w:val="auto"/>
                <w:spacing w:val="-2"/>
                <w:sz w:val="21"/>
                <w:highlight w:val="none"/>
              </w:rPr>
              <w:t xml:space="preserve"> </w:t>
            </w: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r>
              <w:rPr>
                <w:rFonts w:hint="default" w:ascii="宋体" w:hAnsi="宋体" w:eastAsia="宋体" w:cs="宋体"/>
                <w:color w:val="auto"/>
                <w:spacing w:val="-2"/>
                <w:sz w:val="21"/>
                <w:highlight w:val="none"/>
              </w:rPr>
              <w:t xml:space="preserve"> </w:t>
            </w: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r>
              <w:rPr>
                <w:rFonts w:hint="default" w:ascii="宋体" w:hAnsi="宋体" w:eastAsia="宋体" w:cs="宋体"/>
                <w:color w:val="auto"/>
                <w:spacing w:val="-2"/>
                <w:sz w:val="21"/>
                <w:highlight w:val="none"/>
              </w:rPr>
              <w:t xml:space="preserve"> </w:t>
            </w:r>
          </w:p>
        </w:tc>
      </w:tr>
      <w:tr>
        <w:tblPrEx>
          <w:tblCellMar>
            <w:top w:w="0" w:type="dxa"/>
            <w:left w:w="0" w:type="dxa"/>
            <w:bottom w:w="0" w:type="dxa"/>
            <w:right w:w="0" w:type="dxa"/>
          </w:tblCellMar>
        </w:tblPrEx>
        <w:trPr>
          <w:trHeight w:val="329"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29"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30"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29"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29"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30"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29"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85" w:type="dxa"/>
            <w:gridSpan w:val="3"/>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29"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30"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29"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29"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44"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r>
        <w:tblPrEx>
          <w:tblCellMar>
            <w:top w:w="0" w:type="dxa"/>
            <w:left w:w="0" w:type="dxa"/>
            <w:bottom w:w="0" w:type="dxa"/>
            <w:right w:w="0" w:type="dxa"/>
          </w:tblCellMar>
        </w:tblPrEx>
        <w:trPr>
          <w:gridAfter w:val="1"/>
          <w:wAfter w:w="30" w:type="dxa"/>
          <w:trHeight w:val="330" w:hRule="exact"/>
        </w:trPr>
        <w:tc>
          <w:tcPr>
            <w:tcW w:w="874" w:type="dxa"/>
            <w:tcBorders>
              <w:top w:val="single" w:color="000000" w:sz="4" w:space="0"/>
              <w:left w:val="single" w:color="000000" w:sz="10"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pacing w:val="-2"/>
                <w:sz w:val="21"/>
                <w:highlight w:val="none"/>
              </w:rPr>
            </w:pPr>
          </w:p>
        </w:tc>
        <w:tc>
          <w:tcPr>
            <w:tcW w:w="3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pacing w:val="-2"/>
                <w:sz w:val="21"/>
                <w:highlight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c>
          <w:tcPr>
            <w:tcW w:w="1755" w:type="dxa"/>
            <w:gridSpan w:val="2"/>
            <w:tcBorders>
              <w:top w:val="single" w:color="000000" w:sz="4" w:space="0"/>
              <w:left w:val="single" w:color="000000" w:sz="4" w:space="0"/>
              <w:bottom w:val="single" w:color="000000" w:sz="4" w:space="0"/>
              <w:right w:val="single" w:color="000000" w:sz="10"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default" w:ascii="宋体" w:hAnsi="宋体" w:eastAsia="宋体" w:cs="宋体"/>
                <w:color w:val="auto"/>
                <w:spacing w:val="-2"/>
                <w:sz w:val="21"/>
                <w:highlight w:val="none"/>
              </w:rPr>
            </w:pPr>
          </w:p>
        </w:tc>
      </w:tr>
    </w:tbl>
    <w:p>
      <w:pPr>
        <w:pageBreakBefore w:val="0"/>
        <w:kinsoku/>
        <w:wordWrap/>
        <w:overflowPunct/>
        <w:topLinePunct w:val="0"/>
        <w:bidi w:val="0"/>
        <w:adjustRightInd w:val="0"/>
        <w:snapToGrid w:val="0"/>
        <w:spacing w:beforeAutospacing="0" w:afterAutospacing="0" w:line="240" w:lineRule="auto"/>
        <w:jc w:val="both"/>
        <w:rPr>
          <w:rFonts w:ascii="宋体" w:hAnsi="宋体" w:eastAsia="宋体" w:cs="宋体"/>
          <w:color w:val="auto"/>
          <w:spacing w:val="-2"/>
          <w:sz w:val="18"/>
          <w:highlight w:val="none"/>
        </w:rPr>
      </w:pPr>
    </w:p>
    <w:p>
      <w:pPr>
        <w:pageBreakBefore w:val="0"/>
        <w:kinsoku/>
        <w:wordWrap/>
        <w:overflowPunct/>
        <w:topLinePunct w:val="0"/>
        <w:bidi w:val="0"/>
        <w:adjustRightInd w:val="0"/>
        <w:snapToGrid w:val="0"/>
        <w:spacing w:beforeAutospacing="0" w:afterAutospacing="0" w:line="240" w:lineRule="auto"/>
        <w:jc w:val="both"/>
        <w:rPr>
          <w:rFonts w:ascii="宋体" w:hAnsi="宋体" w:eastAsia="宋体" w:cs="宋体"/>
          <w:color w:val="auto"/>
          <w:spacing w:val="-2"/>
          <w:sz w:val="18"/>
          <w:highlight w:val="none"/>
        </w:rPr>
      </w:pPr>
    </w:p>
    <w:p>
      <w:pPr>
        <w:pageBreakBefore w:val="0"/>
        <w:kinsoku/>
        <w:wordWrap/>
        <w:overflowPunct/>
        <w:topLinePunct w:val="0"/>
        <w:bidi w:val="0"/>
        <w:adjustRightInd w:val="0"/>
        <w:snapToGrid w:val="0"/>
        <w:spacing w:beforeAutospacing="0" w:afterAutospacing="0" w:line="240" w:lineRule="auto"/>
        <w:jc w:val="both"/>
        <w:rPr>
          <w:rFonts w:ascii="宋体" w:hAnsi="宋体" w:eastAsia="宋体" w:cs="宋体"/>
          <w:color w:val="auto"/>
          <w:spacing w:val="-2"/>
          <w:sz w:val="18"/>
          <w:highlight w:val="none"/>
        </w:rPr>
      </w:pPr>
      <w:r>
        <w:rPr>
          <w:rFonts w:ascii="宋体" w:hAnsi="宋体" w:eastAsia="宋体" w:cs="宋体"/>
          <w:color w:val="auto"/>
          <w:spacing w:val="-2"/>
          <w:sz w:val="18"/>
          <w:highlight w:val="none"/>
        </w:rPr>
        <w:t>说明：本表适用于建设项目</w:t>
      </w:r>
      <w:r>
        <w:rPr>
          <w:rFonts w:hint="eastAsia" w:ascii="宋体" w:hAnsi="宋体" w:cs="宋体"/>
          <w:color w:val="auto"/>
          <w:spacing w:val="-2"/>
          <w:sz w:val="18"/>
          <w:highlight w:val="none"/>
          <w:lang w:eastAsia="zh-CN"/>
        </w:rPr>
        <w:t>谈判报价</w:t>
      </w:r>
      <w:r>
        <w:rPr>
          <w:rFonts w:ascii="宋体" w:hAnsi="宋体" w:eastAsia="宋体" w:cs="宋体"/>
          <w:color w:val="auto"/>
          <w:spacing w:val="-2"/>
          <w:sz w:val="18"/>
          <w:highlight w:val="none"/>
        </w:rPr>
        <w:t>的汇总。暂估价包括分部分项工程中的材料、设备暂估价和专业工程暂估价。</w:t>
      </w: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pacing w:val="-2"/>
          <w:sz w:val="18"/>
          <w:highlight w:val="none"/>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18"/>
        <w:gridCol w:w="2538"/>
        <w:gridCol w:w="2419"/>
        <w:gridCol w:w="1181"/>
        <w:gridCol w:w="850"/>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0" w:hRule="atLeast"/>
        </w:trPr>
        <w:tc>
          <w:tcPr>
            <w:tcW w:w="8906" w:type="dxa"/>
            <w:gridSpan w:val="6"/>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rPr>
              <w:t>（二）</w:t>
            </w:r>
            <w:r>
              <w:rPr>
                <w:rFonts w:hint="eastAsia" w:ascii="宋体" w:hAnsi="宋体" w:eastAsia="宋体" w:cs="宋体"/>
                <w:b/>
                <w:i w:val="0"/>
                <w:color w:val="auto"/>
                <w:kern w:val="0"/>
                <w:sz w:val="32"/>
                <w:szCs w:val="32"/>
                <w:highlight w:val="none"/>
                <w:u w:val="none"/>
                <w:lang w:val="en-US" w:eastAsia="zh-CN" w:bidi="ar"/>
              </w:rPr>
              <w:t>单项工程</w:t>
            </w:r>
            <w:r>
              <w:rPr>
                <w:rFonts w:hint="eastAsia" w:ascii="宋体" w:hAnsi="宋体" w:cs="宋体"/>
                <w:b/>
                <w:i w:val="0"/>
                <w:color w:val="auto"/>
                <w:kern w:val="0"/>
                <w:sz w:val="32"/>
                <w:szCs w:val="32"/>
                <w:highlight w:val="none"/>
                <w:u w:val="none"/>
                <w:lang w:val="en-US" w:eastAsia="zh-CN" w:bidi="ar"/>
              </w:rPr>
              <w:t>谈判</w:t>
            </w:r>
            <w:r>
              <w:rPr>
                <w:rFonts w:hint="eastAsia" w:ascii="宋体" w:hAnsi="宋体" w:eastAsia="宋体" w:cs="宋体"/>
                <w:b/>
                <w:i w:val="0"/>
                <w:color w:val="auto"/>
                <w:kern w:val="0"/>
                <w:sz w:val="32"/>
                <w:szCs w:val="32"/>
                <w:highlight w:val="none"/>
                <w:u w:val="none"/>
                <w:lang w:val="en-US" w:eastAsia="zh-CN" w:bidi="ar"/>
              </w:rPr>
              <w:t>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775" w:type="dxa"/>
            <w:gridSpan w:val="3"/>
            <w:tcBorders>
              <w:bottom w:val="single" w:color="000000" w:sz="12" w:space="0"/>
            </w:tcBorders>
            <w:noWrap w:val="0"/>
            <w:vAlign w:val="center"/>
          </w:tcPr>
          <w:p>
            <w:pPr>
              <w:keepNext w:val="0"/>
              <w:keepLines w:val="0"/>
              <w:pageBreakBefore w:val="0"/>
              <w:widowControl/>
              <w:suppressLineNumbers w:val="0"/>
              <w:tabs>
                <w:tab w:val="right" w:pos="5745"/>
              </w:tabs>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1181"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1950" w:type="dxa"/>
            <w:gridSpan w:val="2"/>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18" w:type="dxa"/>
            <w:vMerge w:val="restart"/>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2538" w:type="dxa"/>
            <w:vMerge w:val="restart"/>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单位工程名称</w:t>
            </w:r>
          </w:p>
        </w:tc>
        <w:tc>
          <w:tcPr>
            <w:tcW w:w="3600" w:type="dxa"/>
            <w:gridSpan w:val="2"/>
            <w:vMerge w:val="restart"/>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金额(元)</w:t>
            </w:r>
          </w:p>
        </w:tc>
        <w:tc>
          <w:tcPr>
            <w:tcW w:w="1950" w:type="dxa"/>
            <w:gridSpan w:val="2"/>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8" w:type="dxa"/>
            <w:vMerge w:val="continue"/>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2538"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3600" w:type="dxa"/>
            <w:gridSpan w:val="2"/>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暂估价</w:t>
            </w:r>
          </w:p>
        </w:tc>
        <w:tc>
          <w:tcPr>
            <w:tcW w:w="1100" w:type="dxa"/>
            <w:tcBorders>
              <w:top w:val="single" w:color="000000" w:sz="4"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不可竞争费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bl>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bookmarkStart w:id="292" w:name="_Toc44996371"/>
      <w:bookmarkStart w:id="293" w:name="_Toc17215709"/>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00"/>
        <w:gridCol w:w="3076"/>
        <w:gridCol w:w="1485"/>
        <w:gridCol w:w="265"/>
        <w:gridCol w:w="1273"/>
        <w:gridCol w:w="1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856" w:type="dxa"/>
            <w:gridSpan w:val="6"/>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三</w:t>
            </w:r>
            <w:r>
              <w:rPr>
                <w:rFonts w:hint="eastAsia" w:ascii="宋体" w:hAnsi="宋体" w:eastAsia="宋体" w:cs="宋体"/>
                <w:color w:val="auto"/>
                <w:sz w:val="32"/>
                <w:szCs w:val="32"/>
                <w:highlight w:val="none"/>
              </w:rPr>
              <w:t>）</w:t>
            </w:r>
            <w:r>
              <w:rPr>
                <w:rFonts w:hint="eastAsia" w:ascii="宋体" w:hAnsi="宋体" w:eastAsia="宋体" w:cs="宋体"/>
                <w:b/>
                <w:i w:val="0"/>
                <w:color w:val="auto"/>
                <w:kern w:val="0"/>
                <w:sz w:val="32"/>
                <w:szCs w:val="32"/>
                <w:highlight w:val="none"/>
                <w:u w:val="none"/>
                <w:lang w:val="en-US" w:eastAsia="zh-CN" w:bidi="ar"/>
              </w:rPr>
              <w:t>单位工程</w:t>
            </w:r>
            <w:r>
              <w:rPr>
                <w:rFonts w:hint="eastAsia" w:ascii="宋体" w:hAnsi="宋体" w:cs="宋体"/>
                <w:b/>
                <w:i w:val="0"/>
                <w:color w:val="auto"/>
                <w:kern w:val="0"/>
                <w:sz w:val="32"/>
                <w:szCs w:val="32"/>
                <w:highlight w:val="none"/>
                <w:u w:val="none"/>
                <w:lang w:val="en-US" w:eastAsia="zh-CN" w:bidi="ar"/>
              </w:rPr>
              <w:t>谈判</w:t>
            </w:r>
            <w:r>
              <w:rPr>
                <w:rFonts w:hint="eastAsia" w:ascii="宋体" w:hAnsi="宋体" w:eastAsia="宋体" w:cs="宋体"/>
                <w:b/>
                <w:i w:val="0"/>
                <w:color w:val="auto"/>
                <w:kern w:val="0"/>
                <w:sz w:val="32"/>
                <w:szCs w:val="32"/>
                <w:highlight w:val="none"/>
                <w:u w:val="none"/>
                <w:lang w:val="en-US" w:eastAsia="zh-CN" w:bidi="ar"/>
              </w:rPr>
              <w:t>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626" w:type="dxa"/>
            <w:gridSpan w:val="4"/>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1273"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1957"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00" w:type="dxa"/>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3076"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汇总内容</w:t>
            </w:r>
          </w:p>
        </w:tc>
        <w:tc>
          <w:tcPr>
            <w:tcW w:w="1485"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金额(元)</w:t>
            </w:r>
          </w:p>
        </w:tc>
        <w:tc>
          <w:tcPr>
            <w:tcW w:w="3495" w:type="dxa"/>
            <w:gridSpan w:val="3"/>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其中：材料、设备暂估价（元）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分部分项工程费</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0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0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措施项目费</w:t>
            </w:r>
          </w:p>
        </w:tc>
        <w:tc>
          <w:tcPr>
            <w:tcW w:w="1485" w:type="dxa"/>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Arial" w:hAnsi="Arial" w:cs="Arial"/>
                <w:i w:val="0"/>
                <w:color w:val="auto"/>
                <w:sz w:val="20"/>
                <w:szCs w:val="20"/>
                <w:highlight w:val="none"/>
                <w:u w:val="none"/>
              </w:rPr>
            </w:pPr>
          </w:p>
        </w:tc>
        <w:tc>
          <w:tcPr>
            <w:tcW w:w="307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Arial" w:hAnsi="Arial" w:cs="Arial"/>
                <w:i w:val="0"/>
                <w:color w:val="auto"/>
                <w:sz w:val="20"/>
                <w:szCs w:val="20"/>
                <w:highlight w:val="none"/>
                <w:u w:val="none"/>
              </w:rPr>
            </w:pPr>
          </w:p>
        </w:tc>
        <w:tc>
          <w:tcPr>
            <w:tcW w:w="1485" w:type="dxa"/>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Arial" w:hAnsi="Arial" w:cs="Arial"/>
                <w:i w:val="0"/>
                <w:color w:val="auto"/>
                <w:sz w:val="20"/>
                <w:szCs w:val="20"/>
                <w:highlight w:val="none"/>
                <w:u w:val="none"/>
              </w:rPr>
            </w:pPr>
          </w:p>
        </w:tc>
        <w:tc>
          <w:tcPr>
            <w:tcW w:w="307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Arial" w:hAnsi="Arial" w:cs="Arial"/>
                <w:i w:val="0"/>
                <w:color w:val="auto"/>
                <w:sz w:val="20"/>
                <w:szCs w:val="20"/>
                <w:highlight w:val="none"/>
                <w:u w:val="none"/>
              </w:rPr>
            </w:pPr>
          </w:p>
        </w:tc>
        <w:tc>
          <w:tcPr>
            <w:tcW w:w="1485" w:type="dxa"/>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不可竞争费</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安全文明施工费</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3.2</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环境保护税</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其他项目</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4.1</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暂列金额</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4.2</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专业工程暂估价</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4.3</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计日工</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4.4</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总承包服务费</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税金</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3876" w:type="dxa"/>
            <w:gridSpan w:val="2"/>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工程造价=1+2+3+4+5</w:t>
            </w:r>
          </w:p>
        </w:tc>
        <w:tc>
          <w:tcPr>
            <w:tcW w:w="148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3495" w:type="dxa"/>
            <w:gridSpan w:val="3"/>
            <w:tcBorders>
              <w:top w:val="single" w:color="000000" w:sz="4" w:space="0"/>
              <w:left w:val="single" w:color="000000" w:sz="4" w:space="0"/>
              <w:bottom w:val="single" w:color="000000" w:sz="12"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bl>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72"/>
        <w:gridCol w:w="984"/>
        <w:gridCol w:w="1005"/>
        <w:gridCol w:w="930"/>
        <w:gridCol w:w="1005"/>
        <w:gridCol w:w="885"/>
        <w:gridCol w:w="615"/>
        <w:gridCol w:w="361"/>
        <w:gridCol w:w="374"/>
        <w:gridCol w:w="560"/>
        <w:gridCol w:w="100"/>
        <w:gridCol w:w="855"/>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951" w:type="dxa"/>
            <w:gridSpan w:val="13"/>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四</w:t>
            </w:r>
            <w:r>
              <w:rPr>
                <w:rFonts w:hint="eastAsia" w:ascii="宋体" w:hAnsi="宋体" w:eastAsia="宋体" w:cs="宋体"/>
                <w:color w:val="auto"/>
                <w:sz w:val="32"/>
                <w:szCs w:val="32"/>
                <w:highlight w:val="none"/>
              </w:rPr>
              <w:t>）</w:t>
            </w:r>
            <w:r>
              <w:rPr>
                <w:rFonts w:hint="eastAsia" w:ascii="宋体" w:hAnsi="宋体" w:eastAsia="宋体" w:cs="宋体"/>
                <w:b/>
                <w:i w:val="0"/>
                <w:color w:val="auto"/>
                <w:kern w:val="0"/>
                <w:sz w:val="32"/>
                <w:szCs w:val="32"/>
                <w:highlight w:val="none"/>
                <w:u w:val="none"/>
                <w:lang w:val="en-US" w:eastAsia="zh-CN" w:bidi="ar"/>
              </w:rPr>
              <w:t xml:space="preserve"> 分部分项工程量清单计价表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357" w:type="dxa"/>
            <w:gridSpan w:val="8"/>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934" w:type="dxa"/>
            <w:gridSpan w:val="2"/>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1660" w:type="dxa"/>
            <w:gridSpan w:val="3"/>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572" w:type="dxa"/>
            <w:vMerge w:val="restart"/>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984" w:type="dxa"/>
            <w:vMerge w:val="restart"/>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项目编码</w:t>
            </w:r>
          </w:p>
        </w:tc>
        <w:tc>
          <w:tcPr>
            <w:tcW w:w="1005" w:type="dxa"/>
            <w:vMerge w:val="restart"/>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项目名称</w:t>
            </w:r>
          </w:p>
        </w:tc>
        <w:tc>
          <w:tcPr>
            <w:tcW w:w="930" w:type="dxa"/>
            <w:vMerge w:val="restart"/>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项目特征描述</w:t>
            </w:r>
          </w:p>
        </w:tc>
        <w:tc>
          <w:tcPr>
            <w:tcW w:w="1005" w:type="dxa"/>
            <w:vMerge w:val="restart"/>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kern w:val="0"/>
                <w:sz w:val="21"/>
                <w:szCs w:val="21"/>
                <w:highlight w:val="none"/>
                <w:u w:val="none"/>
                <w:lang w:val="en-US" w:eastAsia="zh-CN" w:bidi="ar"/>
              </w:rPr>
            </w:pPr>
            <w:r>
              <w:rPr>
                <w:rFonts w:hint="eastAsia" w:ascii="黑体" w:hAnsi="宋体" w:eastAsia="黑体" w:cs="黑体"/>
                <w:i w:val="0"/>
                <w:color w:val="auto"/>
                <w:kern w:val="0"/>
                <w:sz w:val="21"/>
                <w:szCs w:val="21"/>
                <w:highlight w:val="none"/>
                <w:u w:val="none"/>
                <w:lang w:val="en-US" w:eastAsia="zh-CN" w:bidi="ar"/>
              </w:rPr>
              <w:t>计量</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单位</w:t>
            </w:r>
          </w:p>
        </w:tc>
        <w:tc>
          <w:tcPr>
            <w:tcW w:w="885" w:type="dxa"/>
            <w:vMerge w:val="restart"/>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工程量</w:t>
            </w:r>
          </w:p>
        </w:tc>
        <w:tc>
          <w:tcPr>
            <w:tcW w:w="3570" w:type="dxa"/>
            <w:gridSpan w:val="7"/>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572" w:type="dxa"/>
            <w:vMerge w:val="continue"/>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984"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1005"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930"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1005"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885"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综合单价</w:t>
            </w:r>
          </w:p>
        </w:tc>
        <w:tc>
          <w:tcPr>
            <w:tcW w:w="73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合价</w:t>
            </w:r>
          </w:p>
        </w:tc>
        <w:tc>
          <w:tcPr>
            <w:tcW w:w="2220" w:type="dxa"/>
            <w:gridSpan w:val="4"/>
            <w:tcBorders>
              <w:top w:val="single" w:color="000000" w:sz="4"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72" w:type="dxa"/>
            <w:vMerge w:val="continue"/>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984"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1005"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930"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1005"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885" w:type="dxa"/>
            <w:vMerge w:val="continue"/>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黑体" w:hAnsi="宋体" w:eastAsia="黑体" w:cs="黑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kern w:val="0"/>
                <w:sz w:val="21"/>
                <w:szCs w:val="21"/>
                <w:highlight w:val="none"/>
                <w:u w:val="none"/>
                <w:lang w:val="en-US" w:eastAsia="zh-CN" w:bidi="ar"/>
              </w:rPr>
            </w:pPr>
            <w:r>
              <w:rPr>
                <w:rFonts w:hint="eastAsia" w:ascii="黑体" w:hAnsi="宋体" w:eastAsia="黑体" w:cs="黑体"/>
                <w:i w:val="0"/>
                <w:color w:val="auto"/>
                <w:kern w:val="0"/>
                <w:sz w:val="21"/>
                <w:szCs w:val="21"/>
                <w:highlight w:val="none"/>
                <w:u w:val="none"/>
                <w:lang w:val="en-US" w:eastAsia="zh-CN" w:bidi="ar"/>
              </w:rPr>
              <w:t>定额</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人工费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kern w:val="0"/>
                <w:sz w:val="21"/>
                <w:szCs w:val="21"/>
                <w:highlight w:val="none"/>
                <w:u w:val="none"/>
                <w:lang w:val="en-US" w:eastAsia="zh-CN" w:bidi="ar"/>
              </w:rPr>
            </w:pPr>
            <w:r>
              <w:rPr>
                <w:rFonts w:hint="eastAsia" w:ascii="黑体" w:hAnsi="宋体" w:eastAsia="黑体" w:cs="黑体"/>
                <w:i w:val="0"/>
                <w:color w:val="auto"/>
                <w:kern w:val="0"/>
                <w:sz w:val="21"/>
                <w:szCs w:val="21"/>
                <w:highlight w:val="none"/>
                <w:u w:val="none"/>
                <w:lang w:val="en-US" w:eastAsia="zh-CN" w:bidi="ar"/>
              </w:rPr>
              <w:t>定额</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机械费</w:t>
            </w:r>
          </w:p>
        </w:tc>
        <w:tc>
          <w:tcPr>
            <w:tcW w:w="705" w:type="dxa"/>
            <w:tcBorders>
              <w:top w:val="single" w:color="000000" w:sz="4"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7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bl>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73"/>
        <w:gridCol w:w="348"/>
        <w:gridCol w:w="552"/>
        <w:gridCol w:w="608"/>
        <w:gridCol w:w="144"/>
        <w:gridCol w:w="465"/>
        <w:gridCol w:w="566"/>
        <w:gridCol w:w="205"/>
        <w:gridCol w:w="377"/>
        <w:gridCol w:w="268"/>
        <w:gridCol w:w="70"/>
        <w:gridCol w:w="672"/>
        <w:gridCol w:w="653"/>
        <w:gridCol w:w="540"/>
        <w:gridCol w:w="135"/>
        <w:gridCol w:w="270"/>
        <w:gridCol w:w="435"/>
        <w:gridCol w:w="420"/>
        <w:gridCol w:w="73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8" w:hRule="atLeast"/>
        </w:trPr>
        <w:tc>
          <w:tcPr>
            <w:tcW w:w="8871" w:type="dxa"/>
            <w:gridSpan w:val="20"/>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i w:val="0"/>
                <w:color w:val="auto"/>
                <w:sz w:val="31"/>
                <w:szCs w:val="31"/>
                <w:highlight w:val="none"/>
                <w:u w:val="none"/>
              </w:rPr>
            </w:pPr>
            <w:r>
              <w:rPr>
                <w:rFonts w:hint="eastAsia" w:ascii="宋体" w:hAnsi="宋体" w:eastAsia="宋体" w:cs="宋体"/>
                <w:b/>
                <w:i w:val="0"/>
                <w:color w:val="auto"/>
                <w:kern w:val="0"/>
                <w:sz w:val="31"/>
                <w:szCs w:val="31"/>
                <w:highlight w:val="none"/>
                <w:u w:val="none"/>
                <w:lang w:val="en-US" w:eastAsia="zh-CN" w:bidi="ar"/>
              </w:rPr>
              <w:t>分部分项工程量清单综合单价分析表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trPr>
        <w:tc>
          <w:tcPr>
            <w:tcW w:w="3056" w:type="dxa"/>
            <w:gridSpan w:val="7"/>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920" w:type="dxa"/>
            <w:gridSpan w:val="4"/>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4895" w:type="dxa"/>
            <w:gridSpan w:val="9"/>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721" w:type="dxa"/>
            <w:gridSpan w:val="2"/>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项目编码</w:t>
            </w:r>
          </w:p>
        </w:tc>
        <w:tc>
          <w:tcPr>
            <w:tcW w:w="552" w:type="dxa"/>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752" w:type="dxa"/>
            <w:gridSpan w:val="2"/>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项目名称</w:t>
            </w:r>
          </w:p>
        </w:tc>
        <w:tc>
          <w:tcPr>
            <w:tcW w:w="1613" w:type="dxa"/>
            <w:gridSpan w:val="4"/>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1010"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计量单位</w:t>
            </w:r>
          </w:p>
        </w:tc>
        <w:tc>
          <w:tcPr>
            <w:tcW w:w="1193" w:type="dxa"/>
            <w:gridSpan w:val="2"/>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1260" w:type="dxa"/>
            <w:gridSpan w:val="4"/>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工程量</w:t>
            </w:r>
          </w:p>
        </w:tc>
        <w:tc>
          <w:tcPr>
            <w:tcW w:w="1770" w:type="dxa"/>
            <w:gridSpan w:val="2"/>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871" w:type="dxa"/>
            <w:gridSpan w:val="20"/>
            <w:tcBorders>
              <w:top w:val="single" w:color="000000" w:sz="4" w:space="0"/>
              <w:left w:val="single" w:color="000000" w:sz="12"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3" w:type="dxa"/>
            <w:vMerge w:val="restart"/>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定额</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编码</w:t>
            </w:r>
          </w:p>
        </w:tc>
        <w:tc>
          <w:tcPr>
            <w:tcW w:w="9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定额项目名称</w:t>
            </w:r>
          </w:p>
        </w:tc>
        <w:tc>
          <w:tcPr>
            <w:tcW w:w="6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定额</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单位</w:t>
            </w:r>
          </w:p>
        </w:tc>
        <w:tc>
          <w:tcPr>
            <w:tcW w:w="60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数量</w:t>
            </w:r>
          </w:p>
        </w:tc>
        <w:tc>
          <w:tcPr>
            <w:tcW w:w="2811" w:type="dxa"/>
            <w:gridSpan w:val="7"/>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单价</w:t>
            </w:r>
          </w:p>
        </w:tc>
        <w:tc>
          <w:tcPr>
            <w:tcW w:w="3570" w:type="dxa"/>
            <w:gridSpan w:val="7"/>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2" w:hRule="atLeast"/>
        </w:trPr>
        <w:tc>
          <w:tcPr>
            <w:tcW w:w="373" w:type="dxa"/>
            <w:vMerge w:val="continue"/>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60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人工费</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材料费</w:t>
            </w:r>
          </w:p>
        </w:tc>
        <w:tc>
          <w:tcPr>
            <w:tcW w:w="7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机械费</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综合费</w:t>
            </w:r>
          </w:p>
        </w:tc>
        <w:tc>
          <w:tcPr>
            <w:tcW w:w="9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人工费</w:t>
            </w:r>
          </w:p>
        </w:tc>
        <w:tc>
          <w:tcPr>
            <w:tcW w:w="8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材料费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机械费</w:t>
            </w:r>
          </w:p>
        </w:tc>
        <w:tc>
          <w:tcPr>
            <w:tcW w:w="10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综合费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373"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18"/>
                <w:szCs w:val="18"/>
                <w:highlight w:val="none"/>
                <w:u w:val="none"/>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9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8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373"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18"/>
                <w:szCs w:val="18"/>
                <w:highlight w:val="none"/>
                <w:u w:val="none"/>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9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8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373"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18"/>
                <w:szCs w:val="18"/>
                <w:highlight w:val="none"/>
                <w:u w:val="none"/>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9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8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73" w:type="dxa"/>
            <w:gridSpan w:val="3"/>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人工单价</w:t>
            </w:r>
          </w:p>
        </w:tc>
        <w:tc>
          <w:tcPr>
            <w:tcW w:w="337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小计</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9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8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17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273" w:type="dxa"/>
            <w:gridSpan w:val="3"/>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（）元/工日</w:t>
            </w:r>
          </w:p>
        </w:tc>
        <w:tc>
          <w:tcPr>
            <w:tcW w:w="337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未计价材料费</w:t>
            </w:r>
          </w:p>
        </w:tc>
        <w:tc>
          <w:tcPr>
            <w:tcW w:w="4223" w:type="dxa"/>
            <w:gridSpan w:val="8"/>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648" w:type="dxa"/>
            <w:gridSpan w:val="1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清单项目综合单价</w:t>
            </w:r>
          </w:p>
        </w:tc>
        <w:tc>
          <w:tcPr>
            <w:tcW w:w="4223" w:type="dxa"/>
            <w:gridSpan w:val="8"/>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2" w:hRule="atLeast"/>
        </w:trPr>
        <w:tc>
          <w:tcPr>
            <w:tcW w:w="373" w:type="dxa"/>
            <w:vMerge w:val="restart"/>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材</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料</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费</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明</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细</w:t>
            </w:r>
          </w:p>
        </w:tc>
        <w:tc>
          <w:tcPr>
            <w:tcW w:w="211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主要材料名称、规格、型号</w:t>
            </w:r>
          </w:p>
        </w:tc>
        <w:tc>
          <w:tcPr>
            <w:tcW w:w="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单位</w:t>
            </w:r>
          </w:p>
        </w:tc>
        <w:tc>
          <w:tcPr>
            <w:tcW w:w="138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数量</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单价</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（元）</w:t>
            </w: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合价</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（元）</w:t>
            </w:r>
          </w:p>
        </w:tc>
        <w:tc>
          <w:tcPr>
            <w:tcW w:w="11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暂估</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单价</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（元）</w:t>
            </w:r>
          </w:p>
        </w:tc>
        <w:tc>
          <w:tcPr>
            <w:tcW w:w="17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暂估</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合价</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73" w:type="dxa"/>
            <w:vMerge w:val="continue"/>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211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18"/>
                <w:szCs w:val="18"/>
                <w:highlight w:val="none"/>
                <w:u w:val="none"/>
              </w:rPr>
            </w:pPr>
          </w:p>
        </w:tc>
        <w:tc>
          <w:tcPr>
            <w:tcW w:w="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138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11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17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1" w:hRule="atLeast"/>
        </w:trPr>
        <w:tc>
          <w:tcPr>
            <w:tcW w:w="373" w:type="dxa"/>
            <w:vMerge w:val="continue"/>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211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18"/>
                <w:szCs w:val="18"/>
                <w:highlight w:val="none"/>
                <w:u w:val="none"/>
              </w:rPr>
            </w:pPr>
          </w:p>
        </w:tc>
        <w:tc>
          <w:tcPr>
            <w:tcW w:w="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138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11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17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73" w:type="dxa"/>
            <w:vMerge w:val="continue"/>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211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18"/>
                <w:szCs w:val="18"/>
                <w:highlight w:val="none"/>
                <w:u w:val="none"/>
              </w:rPr>
            </w:pPr>
          </w:p>
        </w:tc>
        <w:tc>
          <w:tcPr>
            <w:tcW w:w="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138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11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17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73" w:type="dxa"/>
            <w:vMerge w:val="continue"/>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427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其他材料费</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2190"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1" w:hRule="atLeast"/>
        </w:trPr>
        <w:tc>
          <w:tcPr>
            <w:tcW w:w="373" w:type="dxa"/>
            <w:vMerge w:val="continue"/>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18"/>
                <w:szCs w:val="18"/>
                <w:highlight w:val="none"/>
                <w:u w:val="none"/>
              </w:rPr>
            </w:pPr>
          </w:p>
        </w:tc>
        <w:tc>
          <w:tcPr>
            <w:tcW w:w="4275" w:type="dxa"/>
            <w:gridSpan w:val="11"/>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材料费小计</w:t>
            </w:r>
          </w:p>
        </w:tc>
        <w:tc>
          <w:tcPr>
            <w:tcW w:w="653"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675" w:type="dxa"/>
            <w:gridSpan w:val="2"/>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c>
          <w:tcPr>
            <w:tcW w:w="705" w:type="dxa"/>
            <w:gridSpan w:val="2"/>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2190" w:type="dxa"/>
            <w:gridSpan w:val="3"/>
            <w:tcBorders>
              <w:top w:val="single" w:color="000000" w:sz="4" w:space="0"/>
              <w:left w:val="single" w:color="000000" w:sz="4" w:space="0"/>
              <w:bottom w:val="single" w:color="000000" w:sz="12"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18"/>
                <w:szCs w:val="18"/>
                <w:highlight w:val="none"/>
                <w:u w:val="none"/>
              </w:rPr>
            </w:pPr>
          </w:p>
        </w:tc>
      </w:tr>
    </w:tbl>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40"/>
        <w:gridCol w:w="1679"/>
        <w:gridCol w:w="2159"/>
        <w:gridCol w:w="601"/>
        <w:gridCol w:w="860"/>
        <w:gridCol w:w="862"/>
        <w:gridCol w:w="710"/>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936" w:type="dxa"/>
            <w:gridSpan w:val="8"/>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五</w:t>
            </w:r>
            <w:r>
              <w:rPr>
                <w:rFonts w:hint="eastAsia" w:ascii="宋体" w:hAnsi="宋体" w:eastAsia="宋体" w:cs="宋体"/>
                <w:color w:val="auto"/>
                <w:sz w:val="32"/>
                <w:szCs w:val="32"/>
                <w:highlight w:val="none"/>
              </w:rPr>
              <w:t>）</w:t>
            </w:r>
            <w:r>
              <w:rPr>
                <w:rFonts w:hint="eastAsia" w:ascii="宋体" w:hAnsi="宋体" w:eastAsia="宋体" w:cs="宋体"/>
                <w:b/>
                <w:i w:val="0"/>
                <w:color w:val="auto"/>
                <w:kern w:val="0"/>
                <w:sz w:val="32"/>
                <w:szCs w:val="32"/>
                <w:highlight w:val="none"/>
                <w:u w:val="none"/>
                <w:lang w:val="en-US" w:eastAsia="zh-CN" w:bidi="ar"/>
              </w:rPr>
              <w:t>措施项目清单计价表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379" w:type="dxa"/>
            <w:gridSpan w:val="4"/>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1722" w:type="dxa"/>
            <w:gridSpan w:val="2"/>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1835" w:type="dxa"/>
            <w:gridSpan w:val="2"/>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940" w:type="dxa"/>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1679"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项目编码</w:t>
            </w:r>
          </w:p>
        </w:tc>
        <w:tc>
          <w:tcPr>
            <w:tcW w:w="2159"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项目名称</w:t>
            </w:r>
          </w:p>
        </w:tc>
        <w:tc>
          <w:tcPr>
            <w:tcW w:w="1461"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计算基础</w:t>
            </w:r>
          </w:p>
        </w:tc>
        <w:tc>
          <w:tcPr>
            <w:tcW w:w="1572"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费率（%）</w:t>
            </w:r>
          </w:p>
        </w:tc>
        <w:tc>
          <w:tcPr>
            <w:tcW w:w="1125" w:type="dxa"/>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strike/>
                <w:dstrike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strike/>
                <w:dstrike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strike/>
                <w:dstrike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strike/>
                <w:dstrike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strike/>
                <w:dstrike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strike/>
                <w:dstrike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strike/>
                <w:dstrike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strike/>
                <w:dstrike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572"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auto"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811" w:type="dxa"/>
            <w:gridSpan w:val="7"/>
            <w:tcBorders>
              <w:top w:val="single" w:color="000000" w:sz="4" w:space="0"/>
              <w:left w:val="single" w:color="000000" w:sz="12"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合计</w:t>
            </w:r>
          </w:p>
        </w:tc>
        <w:tc>
          <w:tcPr>
            <w:tcW w:w="1125" w:type="dxa"/>
            <w:tcBorders>
              <w:top w:val="single" w:color="000000" w:sz="4" w:space="0"/>
              <w:left w:val="single" w:color="auto"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bl>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adjustRightInd w:val="0"/>
        <w:snapToGrid w:val="0"/>
        <w:spacing w:beforeAutospacing="0" w:afterAutospacing="0" w:line="240" w:lineRule="auto"/>
        <w:jc w:val="both"/>
        <w:rPr>
          <w:rFonts w:hint="eastAsia" w:ascii="宋体" w:hAnsi="宋体" w:eastAsia="宋体" w:cs="宋体"/>
          <w:color w:val="auto"/>
          <w:sz w:val="32"/>
          <w:szCs w:val="32"/>
          <w:highlight w:val="none"/>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40"/>
        <w:gridCol w:w="1679"/>
        <w:gridCol w:w="2159"/>
        <w:gridCol w:w="601"/>
        <w:gridCol w:w="860"/>
        <w:gridCol w:w="862"/>
        <w:gridCol w:w="465"/>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871" w:type="dxa"/>
            <w:gridSpan w:val="8"/>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六</w:t>
            </w:r>
            <w:r>
              <w:rPr>
                <w:rFonts w:hint="eastAsia" w:ascii="宋体" w:hAnsi="宋体" w:eastAsia="宋体" w:cs="宋体"/>
                <w:color w:val="auto"/>
                <w:sz w:val="32"/>
                <w:szCs w:val="32"/>
                <w:highlight w:val="none"/>
              </w:rPr>
              <w:t>）</w:t>
            </w:r>
            <w:r>
              <w:rPr>
                <w:rFonts w:hint="eastAsia" w:ascii="宋体" w:hAnsi="宋体" w:eastAsia="宋体" w:cs="宋体"/>
                <w:b/>
                <w:i w:val="0"/>
                <w:color w:val="auto"/>
                <w:kern w:val="0"/>
                <w:sz w:val="32"/>
                <w:szCs w:val="32"/>
                <w:highlight w:val="none"/>
                <w:u w:val="none"/>
                <w:lang w:val="en-US" w:eastAsia="zh-CN" w:bidi="ar"/>
              </w:rPr>
              <w:t xml:space="preserve"> 不可竞争项目清单与计价表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379" w:type="dxa"/>
            <w:gridSpan w:val="4"/>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1722" w:type="dxa"/>
            <w:gridSpan w:val="2"/>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1770" w:type="dxa"/>
            <w:gridSpan w:val="2"/>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940" w:type="dxa"/>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1679"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项目编码</w:t>
            </w:r>
          </w:p>
        </w:tc>
        <w:tc>
          <w:tcPr>
            <w:tcW w:w="2159"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项目名称</w:t>
            </w:r>
          </w:p>
        </w:tc>
        <w:tc>
          <w:tcPr>
            <w:tcW w:w="1461"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计算基础</w:t>
            </w:r>
          </w:p>
        </w:tc>
        <w:tc>
          <w:tcPr>
            <w:tcW w:w="1327"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费率（%）</w:t>
            </w:r>
          </w:p>
        </w:tc>
        <w:tc>
          <w:tcPr>
            <w:tcW w:w="1305" w:type="dxa"/>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环境保护费</w:t>
            </w: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文明施工费</w:t>
            </w: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安全施工费</w:t>
            </w: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临时设施费</w:t>
            </w: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环境保护税</w:t>
            </w: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i w:val="0"/>
                <w:color w:val="auto"/>
                <w:sz w:val="21"/>
                <w:szCs w:val="21"/>
                <w:highlight w:val="none"/>
                <w:u w:val="none"/>
              </w:rPr>
            </w:pP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b w:val="0"/>
                <w:bCs w:val="0"/>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b w:val="0"/>
                <w:bCs w:val="0"/>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b w:val="0"/>
                <w:bCs w:val="0"/>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b w:val="0"/>
                <w:bCs w:val="0"/>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b w:val="0"/>
                <w:bCs w:val="0"/>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i w:val="0"/>
                <w:color w:val="auto"/>
                <w:sz w:val="21"/>
                <w:szCs w:val="21"/>
                <w:highlight w:val="none"/>
                <w:u w:val="none"/>
              </w:rPr>
            </w:pP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b w:val="0"/>
                <w:bCs w:val="0"/>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b w:val="0"/>
                <w:bCs w:val="0"/>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b w:val="0"/>
                <w:bCs w:val="0"/>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b w:val="0"/>
                <w:bCs w:val="0"/>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b w:val="0"/>
                <w:bCs w:val="0"/>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val="0"/>
                <w:i w:val="0"/>
                <w:color w:val="auto"/>
                <w:sz w:val="21"/>
                <w:szCs w:val="21"/>
                <w:highlight w:val="none"/>
                <w:u w:val="none"/>
              </w:rPr>
            </w:pP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b w:val="0"/>
                <w:bCs w:val="0"/>
                <w:i w:val="0"/>
                <w:color w:val="auto"/>
                <w:sz w:val="21"/>
                <w:szCs w:val="21"/>
                <w:highlight w:val="none"/>
                <w:u w:val="none"/>
              </w:rPr>
            </w:pP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b w:val="0"/>
                <w:bCs w:val="0"/>
                <w:i w:val="0"/>
                <w:color w:val="auto"/>
                <w:sz w:val="21"/>
                <w:szCs w:val="21"/>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b w:val="0"/>
                <w:bCs w:val="0"/>
                <w:i w:val="0"/>
                <w:color w:val="auto"/>
                <w:sz w:val="21"/>
                <w:szCs w:val="21"/>
                <w:highlight w:val="none"/>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b w:val="0"/>
                <w:bCs w:val="0"/>
                <w:i w:val="0"/>
                <w:color w:val="auto"/>
                <w:sz w:val="21"/>
                <w:szCs w:val="21"/>
                <w:highlight w:val="none"/>
                <w:u w:val="none"/>
              </w:rPr>
            </w:pPr>
          </w:p>
        </w:tc>
        <w:tc>
          <w:tcPr>
            <w:tcW w:w="130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b w:val="0"/>
                <w:bCs w:val="0"/>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566" w:type="dxa"/>
            <w:gridSpan w:val="7"/>
            <w:tcBorders>
              <w:left w:val="single" w:color="000000" w:sz="12"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val="0"/>
                <w:bCs w:val="0"/>
                <w:i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lang w:val="en-US" w:eastAsia="zh-CN" w:bidi="ar"/>
              </w:rPr>
              <w:t>合   计</w:t>
            </w:r>
          </w:p>
        </w:tc>
        <w:tc>
          <w:tcPr>
            <w:tcW w:w="1305" w:type="dxa"/>
            <w:tcBorders>
              <w:left w:val="single" w:color="000000" w:sz="4" w:space="0"/>
              <w:bottom w:val="single" w:color="000000" w:sz="12"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b w:val="0"/>
                <w:bCs w:val="0"/>
                <w:i w:val="0"/>
                <w:color w:val="auto"/>
                <w:sz w:val="21"/>
                <w:szCs w:val="21"/>
                <w:highlight w:val="none"/>
                <w:u w:val="none"/>
              </w:rPr>
            </w:pPr>
          </w:p>
        </w:tc>
      </w:tr>
    </w:tbl>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85"/>
        <w:gridCol w:w="915"/>
        <w:gridCol w:w="2945"/>
        <w:gridCol w:w="2336"/>
        <w:gridCol w:w="1087"/>
        <w:gridCol w:w="1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951" w:type="dxa"/>
            <w:gridSpan w:val="6"/>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七</w:t>
            </w:r>
            <w:r>
              <w:rPr>
                <w:rFonts w:hint="eastAsia" w:ascii="宋体" w:hAnsi="宋体" w:eastAsia="宋体" w:cs="宋体"/>
                <w:color w:val="auto"/>
                <w:sz w:val="32"/>
                <w:szCs w:val="32"/>
                <w:highlight w:val="none"/>
              </w:rPr>
              <w:t>）</w:t>
            </w:r>
            <w:r>
              <w:rPr>
                <w:rFonts w:hint="eastAsia" w:ascii="宋体" w:hAnsi="宋体" w:eastAsia="宋体" w:cs="宋体"/>
                <w:b/>
                <w:i w:val="0"/>
                <w:color w:val="auto"/>
                <w:kern w:val="0"/>
                <w:sz w:val="32"/>
                <w:szCs w:val="32"/>
                <w:highlight w:val="none"/>
                <w:u w:val="none"/>
                <w:lang w:val="en-US" w:eastAsia="zh-CN" w:bidi="ar"/>
              </w:rPr>
              <w:t xml:space="preserve"> 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4245" w:type="dxa"/>
            <w:gridSpan w:val="3"/>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3423" w:type="dxa"/>
            <w:gridSpan w:val="2"/>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1283"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both"/>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300" w:type="dxa"/>
            <w:gridSpan w:val="2"/>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5281"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项目名称</w:t>
            </w:r>
          </w:p>
        </w:tc>
        <w:tc>
          <w:tcPr>
            <w:tcW w:w="2370" w:type="dxa"/>
            <w:gridSpan w:val="2"/>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300"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52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暂列金额</w:t>
            </w:r>
          </w:p>
        </w:tc>
        <w:tc>
          <w:tcPr>
            <w:tcW w:w="23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300"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52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专业工程暂估价</w:t>
            </w:r>
          </w:p>
        </w:tc>
        <w:tc>
          <w:tcPr>
            <w:tcW w:w="23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300"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52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计日工</w:t>
            </w:r>
          </w:p>
        </w:tc>
        <w:tc>
          <w:tcPr>
            <w:tcW w:w="23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300"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52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总承包服务费</w:t>
            </w:r>
          </w:p>
        </w:tc>
        <w:tc>
          <w:tcPr>
            <w:tcW w:w="23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300"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52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3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300"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52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370" w:type="dxa"/>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300" w:type="dxa"/>
            <w:gridSpan w:val="2"/>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52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370"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385" w:type="dxa"/>
            <w:tcBorders>
              <w:top w:val="single" w:color="auto" w:sz="4" w:space="0"/>
              <w:left w:val="single" w:color="auto"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Arial" w:hAnsi="Arial" w:cs="Arial"/>
                <w:i w:val="0"/>
                <w:color w:val="auto"/>
                <w:sz w:val="20"/>
                <w:szCs w:val="20"/>
                <w:highlight w:val="none"/>
                <w:u w:val="none"/>
              </w:rPr>
            </w:pPr>
          </w:p>
        </w:tc>
        <w:tc>
          <w:tcPr>
            <w:tcW w:w="915" w:type="dxa"/>
            <w:tcBorders>
              <w:top w:val="single" w:color="auto"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Arial" w:hAnsi="Arial" w:cs="Arial"/>
                <w:i w:val="0"/>
                <w:color w:val="auto"/>
                <w:sz w:val="20"/>
                <w:szCs w:val="20"/>
                <w:highlight w:val="none"/>
                <w:u w:val="none"/>
              </w:rPr>
            </w:pPr>
          </w:p>
        </w:tc>
        <w:tc>
          <w:tcPr>
            <w:tcW w:w="2945" w:type="dxa"/>
            <w:tcBorders>
              <w:top w:val="single" w:color="000000"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Arial" w:hAnsi="Arial" w:cs="Arial"/>
                <w:i w:val="0"/>
                <w:color w:val="auto"/>
                <w:sz w:val="20"/>
                <w:szCs w:val="20"/>
                <w:highlight w:val="none"/>
                <w:u w:val="none"/>
              </w:rPr>
            </w:pPr>
          </w:p>
        </w:tc>
        <w:tc>
          <w:tcPr>
            <w:tcW w:w="2336" w:type="dxa"/>
            <w:tcBorders>
              <w:top w:val="single" w:color="000000" w:sz="4" w:space="0"/>
              <w:right w:val="single" w:color="auto"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Arial" w:hAnsi="Arial" w:cs="Arial"/>
                <w:i w:val="0"/>
                <w:color w:val="auto"/>
                <w:sz w:val="20"/>
                <w:szCs w:val="20"/>
                <w:highlight w:val="none"/>
                <w:u w:val="none"/>
              </w:rPr>
            </w:pPr>
          </w:p>
        </w:tc>
        <w:tc>
          <w:tcPr>
            <w:tcW w:w="1087" w:type="dxa"/>
            <w:tcBorders>
              <w:top w:val="single" w:color="000000" w:sz="4" w:space="0"/>
              <w:left w:val="single" w:color="auto"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Arial" w:hAnsi="Arial" w:cs="Arial"/>
                <w:i w:val="0"/>
                <w:color w:val="auto"/>
                <w:sz w:val="20"/>
                <w:szCs w:val="20"/>
                <w:highlight w:val="none"/>
                <w:u w:val="none"/>
              </w:rPr>
            </w:pPr>
          </w:p>
        </w:tc>
        <w:tc>
          <w:tcPr>
            <w:tcW w:w="1283" w:type="dxa"/>
            <w:tcBorders>
              <w:top w:val="single" w:color="000000" w:sz="4" w:space="0"/>
              <w:right w:val="single" w:color="auto"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Arial" w:hAnsi="Arial" w:cs="Arial"/>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81" w:type="dxa"/>
            <w:gridSpan w:val="4"/>
            <w:tcBorders>
              <w:left w:val="single" w:color="000000" w:sz="12"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  计</w:t>
            </w:r>
          </w:p>
        </w:tc>
        <w:tc>
          <w:tcPr>
            <w:tcW w:w="2370" w:type="dxa"/>
            <w:gridSpan w:val="2"/>
            <w:tcBorders>
              <w:left w:val="single" w:color="000000" w:sz="4" w:space="0"/>
              <w:bottom w:val="single" w:color="000000" w:sz="12"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bl>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74"/>
        <w:gridCol w:w="3435"/>
        <w:gridCol w:w="1470"/>
        <w:gridCol w:w="974"/>
        <w:gridCol w:w="488"/>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886" w:type="dxa"/>
            <w:gridSpan w:val="6"/>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八</w:t>
            </w:r>
            <w:r>
              <w:rPr>
                <w:rFonts w:hint="eastAsia" w:ascii="宋体" w:hAnsi="宋体" w:eastAsia="宋体" w:cs="宋体"/>
                <w:color w:val="auto"/>
                <w:sz w:val="32"/>
                <w:szCs w:val="32"/>
                <w:highlight w:val="none"/>
              </w:rPr>
              <w:t>）</w:t>
            </w:r>
            <w:r>
              <w:rPr>
                <w:rFonts w:hint="eastAsia" w:ascii="宋体" w:hAnsi="宋体" w:eastAsia="宋体" w:cs="宋体"/>
                <w:b/>
                <w:i w:val="0"/>
                <w:color w:val="auto"/>
                <w:kern w:val="0"/>
                <w:sz w:val="32"/>
                <w:szCs w:val="32"/>
                <w:highlight w:val="none"/>
                <w:u w:val="none"/>
                <w:lang w:val="en-US" w:eastAsia="zh-CN" w:bidi="ar"/>
              </w:rPr>
              <w:t xml:space="preserve"> 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879" w:type="dxa"/>
            <w:gridSpan w:val="3"/>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974"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2033" w:type="dxa"/>
            <w:gridSpan w:val="2"/>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974" w:type="dxa"/>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3435"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项目名称</w:t>
            </w:r>
          </w:p>
        </w:tc>
        <w:tc>
          <w:tcPr>
            <w:tcW w:w="1470"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计量单位</w:t>
            </w:r>
          </w:p>
        </w:tc>
        <w:tc>
          <w:tcPr>
            <w:tcW w:w="1462"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暂定金额(元)</w:t>
            </w:r>
          </w:p>
        </w:tc>
        <w:tc>
          <w:tcPr>
            <w:tcW w:w="1545" w:type="dxa"/>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74"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4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5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74"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4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5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74"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4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5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74"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4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5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74"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4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5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74"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4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5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74"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4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5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74"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4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5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74"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4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5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5879" w:type="dxa"/>
            <w:gridSpan w:val="3"/>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  计</w:t>
            </w:r>
          </w:p>
        </w:tc>
        <w:tc>
          <w:tcPr>
            <w:tcW w:w="1462" w:type="dxa"/>
            <w:gridSpan w:val="2"/>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545" w:type="dxa"/>
            <w:tcBorders>
              <w:top w:val="single" w:color="000000" w:sz="4" w:space="0"/>
              <w:left w:val="single" w:color="000000" w:sz="4" w:space="0"/>
              <w:bottom w:val="single" w:color="000000" w:sz="12" w:space="0"/>
              <w:right w:val="single" w:color="000000" w:sz="12"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bookmarkEnd w:id="292"/>
      <w:bookmarkEnd w:id="293"/>
    </w:tbl>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 w:val="32"/>
          <w:szCs w:val="32"/>
          <w:highlight w:val="none"/>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28"/>
        <w:gridCol w:w="68"/>
        <w:gridCol w:w="2345"/>
        <w:gridCol w:w="130"/>
        <w:gridCol w:w="1149"/>
        <w:gridCol w:w="995"/>
        <w:gridCol w:w="216"/>
        <w:gridCol w:w="38"/>
        <w:gridCol w:w="941"/>
        <w:gridCol w:w="356"/>
        <w:gridCol w:w="775"/>
        <w:gridCol w:w="945"/>
        <w:gridCol w:w="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921" w:type="dxa"/>
            <w:gridSpan w:val="13"/>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九</w:t>
            </w:r>
            <w:r>
              <w:rPr>
                <w:rFonts w:hint="eastAsia" w:ascii="宋体" w:hAnsi="宋体" w:eastAsia="宋体" w:cs="宋体"/>
                <w:color w:val="auto"/>
                <w:sz w:val="32"/>
                <w:szCs w:val="32"/>
                <w:highlight w:val="none"/>
              </w:rPr>
              <w:t>）</w:t>
            </w:r>
            <w:r>
              <w:rPr>
                <w:rFonts w:hint="eastAsia" w:ascii="宋体" w:hAnsi="宋体" w:eastAsia="宋体" w:cs="宋体"/>
                <w:b/>
                <w:i w:val="0"/>
                <w:color w:val="auto"/>
                <w:kern w:val="0"/>
                <w:sz w:val="32"/>
                <w:szCs w:val="32"/>
                <w:highlight w:val="none"/>
                <w:u w:val="none"/>
                <w:lang w:val="en-US" w:eastAsia="zh-CN" w:bidi="ar"/>
              </w:rPr>
              <w:t xml:space="preserve"> 专业工程暂估价计价表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4620" w:type="dxa"/>
            <w:gridSpan w:val="5"/>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2546" w:type="dxa"/>
            <w:gridSpan w:val="5"/>
            <w:tcBorders>
              <w:bottom w:val="single" w:color="000000" w:sz="12" w:space="0"/>
            </w:tcBorders>
            <w:noWrap w:val="0"/>
            <w:vAlign w:val="center"/>
          </w:tcPr>
          <w:p>
            <w:pPr>
              <w:keepNext w:val="0"/>
              <w:keepLines w:val="0"/>
              <w:pageBreakBefore w:val="0"/>
              <w:widowControl/>
              <w:suppressLineNumbers w:val="0"/>
              <w:tabs>
                <w:tab w:val="right" w:pos="3718"/>
              </w:tabs>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1755" w:type="dxa"/>
            <w:gridSpan w:val="3"/>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both"/>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928" w:type="dxa"/>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2413"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2490" w:type="dxa"/>
            <w:gridSpan w:val="4"/>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工程内容</w:t>
            </w:r>
          </w:p>
        </w:tc>
        <w:tc>
          <w:tcPr>
            <w:tcW w:w="1335" w:type="dxa"/>
            <w:gridSpan w:val="3"/>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金额(元)</w:t>
            </w:r>
          </w:p>
        </w:tc>
        <w:tc>
          <w:tcPr>
            <w:tcW w:w="1755" w:type="dxa"/>
            <w:gridSpan w:val="3"/>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28"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5831" w:type="dxa"/>
            <w:gridSpan w:val="7"/>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  计</w:t>
            </w:r>
          </w:p>
        </w:tc>
        <w:tc>
          <w:tcPr>
            <w:tcW w:w="1335" w:type="dxa"/>
            <w:gridSpan w:val="3"/>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755" w:type="dxa"/>
            <w:gridSpan w:val="3"/>
            <w:tcBorders>
              <w:top w:val="single" w:color="000000" w:sz="4" w:space="0"/>
              <w:left w:val="single" w:color="000000" w:sz="4" w:space="0"/>
              <w:bottom w:val="single" w:color="000000" w:sz="12" w:space="0"/>
              <w:right w:val="single" w:color="000000" w:sz="12"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690" w:hRule="atLeast"/>
        </w:trPr>
        <w:tc>
          <w:tcPr>
            <w:tcW w:w="8886" w:type="dxa"/>
            <w:gridSpan w:val="12"/>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color w:val="auto"/>
                <w:sz w:val="32"/>
                <w:szCs w:val="32"/>
                <w:highlight w:val="none"/>
                <w:lang w:eastAsia="zh-CN"/>
              </w:rPr>
            </w:pPr>
            <w:bookmarkStart w:id="294" w:name="_Toc44996372"/>
            <w:bookmarkStart w:id="295" w:name="_Toc17215710"/>
            <w:bookmarkStart w:id="296" w:name="_Toc171581376"/>
            <w:bookmarkStart w:id="297" w:name="_Toc171581556"/>
            <w:bookmarkStart w:id="298" w:name="_Toc171741999"/>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color w:val="auto"/>
                <w:sz w:val="32"/>
                <w:szCs w:val="32"/>
                <w:highlight w:val="none"/>
                <w:lang w:eastAsia="zh-CN"/>
              </w:rPr>
            </w:pP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color w:val="auto"/>
                <w:sz w:val="32"/>
                <w:szCs w:val="32"/>
                <w:highlight w:val="none"/>
                <w:lang w:eastAsia="zh-CN"/>
              </w:rPr>
            </w:pP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color w:val="auto"/>
                <w:sz w:val="32"/>
                <w:szCs w:val="32"/>
                <w:highlight w:val="none"/>
                <w:lang w:eastAsia="zh-CN"/>
              </w:rPr>
            </w:pP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color w:val="auto"/>
                <w:sz w:val="32"/>
                <w:szCs w:val="32"/>
                <w:highlight w:val="none"/>
                <w:lang w:eastAsia="zh-CN"/>
              </w:rPr>
            </w:pP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color w:val="auto"/>
                <w:sz w:val="32"/>
                <w:szCs w:val="32"/>
                <w:highlight w:val="none"/>
                <w:lang w:eastAsia="zh-CN"/>
              </w:rPr>
            </w:pP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color w:val="auto"/>
                <w:sz w:val="32"/>
                <w:szCs w:val="32"/>
                <w:highlight w:val="none"/>
                <w:lang w:eastAsia="zh-CN"/>
              </w:rPr>
            </w:pP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color w:val="auto"/>
                <w:sz w:val="32"/>
                <w:szCs w:val="32"/>
                <w:highlight w:val="none"/>
                <w:lang w:eastAsia="zh-CN"/>
              </w:rPr>
            </w:pP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color w:val="auto"/>
                <w:sz w:val="32"/>
                <w:szCs w:val="32"/>
                <w:highlight w:val="none"/>
                <w:lang w:eastAsia="zh-CN"/>
              </w:rPr>
            </w:pP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lang w:eastAsia="zh-CN"/>
              </w:rPr>
              <w:t>（十）</w:t>
            </w:r>
            <w:r>
              <w:rPr>
                <w:rFonts w:hint="eastAsia" w:ascii="宋体" w:hAnsi="宋体" w:eastAsia="宋体" w:cs="宋体"/>
                <w:b/>
                <w:i w:val="0"/>
                <w:color w:val="auto"/>
                <w:kern w:val="0"/>
                <w:sz w:val="32"/>
                <w:szCs w:val="32"/>
                <w:highlight w:val="none"/>
                <w:u w:val="none"/>
                <w:lang w:val="en-US" w:eastAsia="zh-CN" w:bidi="ar"/>
              </w:rPr>
              <w:t xml:space="preserve"> 计日工表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5869" w:type="dxa"/>
            <w:gridSpan w:val="8"/>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941"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2076" w:type="dxa"/>
            <w:gridSpan w:val="3"/>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690" w:hRule="atLeast"/>
        </w:trPr>
        <w:tc>
          <w:tcPr>
            <w:tcW w:w="996" w:type="dxa"/>
            <w:gridSpan w:val="2"/>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编码</w:t>
            </w:r>
          </w:p>
        </w:tc>
        <w:tc>
          <w:tcPr>
            <w:tcW w:w="2475"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项目名称</w:t>
            </w:r>
          </w:p>
        </w:tc>
        <w:tc>
          <w:tcPr>
            <w:tcW w:w="2144"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单位</w:t>
            </w:r>
          </w:p>
        </w:tc>
        <w:tc>
          <w:tcPr>
            <w:tcW w:w="1195" w:type="dxa"/>
            <w:gridSpan w:val="3"/>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数量</w:t>
            </w:r>
          </w:p>
        </w:tc>
        <w:tc>
          <w:tcPr>
            <w:tcW w:w="1131"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综合单价</w:t>
            </w:r>
          </w:p>
        </w:tc>
        <w:tc>
          <w:tcPr>
            <w:tcW w:w="945" w:type="dxa"/>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996" w:type="dxa"/>
            <w:gridSpan w:val="2"/>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w:t>
            </w:r>
          </w:p>
        </w:tc>
        <w:tc>
          <w:tcPr>
            <w:tcW w:w="24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人工</w:t>
            </w:r>
          </w:p>
        </w:tc>
        <w:tc>
          <w:tcPr>
            <w:tcW w:w="21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996" w:type="dxa"/>
            <w:gridSpan w:val="2"/>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30" w:hRule="atLeast"/>
        </w:trPr>
        <w:tc>
          <w:tcPr>
            <w:tcW w:w="7941" w:type="dxa"/>
            <w:gridSpan w:val="11"/>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人工费小计</w:t>
            </w: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w:t>
            </w:r>
          </w:p>
        </w:tc>
        <w:tc>
          <w:tcPr>
            <w:tcW w:w="24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材料</w:t>
            </w:r>
          </w:p>
        </w:tc>
        <w:tc>
          <w:tcPr>
            <w:tcW w:w="21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15"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7941" w:type="dxa"/>
            <w:gridSpan w:val="11"/>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材料费小计</w:t>
            </w: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30"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w:t>
            </w:r>
          </w:p>
        </w:tc>
        <w:tc>
          <w:tcPr>
            <w:tcW w:w="24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施工机械</w:t>
            </w:r>
          </w:p>
        </w:tc>
        <w:tc>
          <w:tcPr>
            <w:tcW w:w="21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30"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30"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30"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30" w:hRule="atLeast"/>
        </w:trPr>
        <w:tc>
          <w:tcPr>
            <w:tcW w:w="99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2475"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144"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31"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345" w:hRule="atLeast"/>
        </w:trPr>
        <w:tc>
          <w:tcPr>
            <w:tcW w:w="7941" w:type="dxa"/>
            <w:gridSpan w:val="11"/>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施工机械费小计</w:t>
            </w:r>
          </w:p>
        </w:tc>
        <w:tc>
          <w:tcPr>
            <w:tcW w:w="945" w:type="dxa"/>
            <w:tcBorders>
              <w:top w:val="single" w:color="000000" w:sz="4" w:space="0"/>
              <w:left w:val="single" w:color="000000" w:sz="4" w:space="0"/>
              <w:bottom w:val="single" w:color="auto"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Height w:val="450" w:hRule="atLeast"/>
        </w:trPr>
        <w:tc>
          <w:tcPr>
            <w:tcW w:w="7941" w:type="dxa"/>
            <w:gridSpan w:val="11"/>
            <w:tcBorders>
              <w:left w:val="single" w:color="auto"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合     计</w:t>
            </w:r>
          </w:p>
        </w:tc>
        <w:tc>
          <w:tcPr>
            <w:tcW w:w="945" w:type="dxa"/>
            <w:tcBorders>
              <w:left w:val="single" w:color="000000" w:sz="4" w:space="0"/>
              <w:bottom w:val="single" w:color="000000" w:sz="12"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bl>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lang w:eastAsia="zh-CN"/>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lang w:eastAsia="zh-CN"/>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lang w:eastAsia="zh-CN"/>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lang w:eastAsia="zh-CN"/>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lang w:eastAsia="zh-CN"/>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 w:val="32"/>
          <w:szCs w:val="32"/>
          <w:highlight w:val="none"/>
          <w:lang w:eastAsia="zh-CN"/>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96"/>
        <w:gridCol w:w="2247"/>
        <w:gridCol w:w="1458"/>
        <w:gridCol w:w="1245"/>
        <w:gridCol w:w="1080"/>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906" w:type="dxa"/>
            <w:gridSpan w:val="6"/>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lang w:eastAsia="zh-CN"/>
              </w:rPr>
              <w:t>（十一）</w:t>
            </w:r>
            <w:r>
              <w:rPr>
                <w:rFonts w:hint="eastAsia" w:ascii="宋体" w:hAnsi="宋体" w:eastAsia="宋体" w:cs="宋体"/>
                <w:b/>
                <w:i w:val="0"/>
                <w:color w:val="auto"/>
                <w:kern w:val="0"/>
                <w:sz w:val="32"/>
                <w:szCs w:val="32"/>
                <w:highlight w:val="none"/>
                <w:u w:val="none"/>
                <w:lang w:val="en-US" w:eastAsia="zh-CN" w:bidi="ar"/>
              </w:rPr>
              <w:t xml:space="preserve"> 总承包服务费计价表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846" w:type="dxa"/>
            <w:gridSpan w:val="4"/>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1080"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1980"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96" w:type="dxa"/>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2247"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1458"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项目价值(元)</w:t>
            </w:r>
          </w:p>
        </w:tc>
        <w:tc>
          <w:tcPr>
            <w:tcW w:w="1245"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服务内容</w:t>
            </w:r>
          </w:p>
        </w:tc>
        <w:tc>
          <w:tcPr>
            <w:tcW w:w="1080"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费率(％)</w:t>
            </w:r>
          </w:p>
        </w:tc>
        <w:tc>
          <w:tcPr>
            <w:tcW w:w="1980" w:type="dxa"/>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96"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发包人发包专业工程</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98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96"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发包人供应材料</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98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96"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98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96"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98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96"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98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96"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98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96"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98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96"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98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96"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98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896" w:type="dxa"/>
            <w:tcBorders>
              <w:top w:val="single" w:color="000000" w:sz="4" w:space="0"/>
              <w:left w:val="single" w:color="000000" w:sz="12" w:space="0"/>
              <w:bottom w:val="single" w:color="000000" w:sz="12" w:space="0"/>
              <w:right w:val="single" w:color="000000"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2247"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  计</w:t>
            </w:r>
          </w:p>
        </w:tc>
        <w:tc>
          <w:tcPr>
            <w:tcW w:w="1458" w:type="dxa"/>
            <w:tcBorders>
              <w:top w:val="single" w:color="000000" w:sz="4" w:space="0"/>
              <w:left w:val="single" w:color="000000" w:sz="4" w:space="0"/>
              <w:bottom w:val="single" w:color="000000" w:sz="12" w:space="0"/>
              <w:right w:val="single" w:color="000000"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245" w:type="dxa"/>
            <w:tcBorders>
              <w:top w:val="single" w:color="000000" w:sz="4" w:space="0"/>
              <w:left w:val="single" w:color="000000" w:sz="4" w:space="0"/>
              <w:bottom w:val="single" w:color="000000" w:sz="12" w:space="0"/>
              <w:right w:val="single" w:color="000000"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080" w:type="dxa"/>
            <w:tcBorders>
              <w:top w:val="single" w:color="000000" w:sz="4" w:space="0"/>
              <w:left w:val="single" w:color="000000" w:sz="4" w:space="0"/>
              <w:bottom w:val="single" w:color="000000" w:sz="12" w:space="0"/>
              <w:right w:val="single" w:color="000000"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980" w:type="dxa"/>
            <w:tcBorders>
              <w:top w:val="single" w:color="000000" w:sz="4" w:space="0"/>
              <w:left w:val="single" w:color="000000" w:sz="4" w:space="0"/>
              <w:bottom w:val="single" w:color="000000" w:sz="12"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bl>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2"/>
          <w:szCs w:val="32"/>
          <w:highlight w:val="none"/>
        </w:rPr>
      </w:pPr>
    </w:p>
    <w:bookmarkEnd w:id="294"/>
    <w:bookmarkEnd w:id="295"/>
    <w:bookmarkEnd w:id="296"/>
    <w:bookmarkEnd w:id="297"/>
    <w:bookmarkEnd w:id="298"/>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9"/>
        <w:gridCol w:w="1320"/>
        <w:gridCol w:w="141"/>
        <w:gridCol w:w="3281"/>
        <w:gridCol w:w="938"/>
        <w:gridCol w:w="1302"/>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901" w:type="dxa"/>
            <w:gridSpan w:val="7"/>
            <w:noWrap w:val="0"/>
            <w:vAlign w:val="center"/>
          </w:tcPr>
          <w:p>
            <w:pPr>
              <w:keepNext w:val="0"/>
              <w:keepLines w:val="0"/>
              <w:pageBreakBefore w:val="0"/>
              <w:suppressLineNumbers w:val="0"/>
              <w:tabs>
                <w:tab w:val="left" w:pos="0"/>
              </w:tabs>
              <w:kinsoku/>
              <w:wordWrap/>
              <w:overflowPunct/>
              <w:topLinePunct w:val="0"/>
              <w:bidi w:val="0"/>
              <w:spacing w:before="0" w:beforeAutospacing="0" w:after="0" w:afterAutospacing="0" w:line="240" w:lineRule="auto"/>
              <w:ind w:left="0" w:right="0"/>
              <w:jc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sz w:val="32"/>
                <w:szCs w:val="32"/>
                <w:highlight w:val="none"/>
              </w:rPr>
              <w:t>(十</w:t>
            </w:r>
            <w:r>
              <w:rPr>
                <w:rFonts w:hint="eastAsia" w:ascii="宋体" w:hAnsi="宋体" w:eastAsia="宋体" w:cs="宋体"/>
                <w:color w:val="auto"/>
                <w:sz w:val="32"/>
                <w:szCs w:val="32"/>
                <w:highlight w:val="none"/>
                <w:lang w:eastAsia="zh-CN"/>
              </w:rPr>
              <w:t>二</w:t>
            </w:r>
            <w:r>
              <w:rPr>
                <w:rFonts w:hint="eastAsia" w:ascii="宋体" w:hAnsi="宋体" w:eastAsia="宋体" w:cs="宋体"/>
                <w:color w:val="auto"/>
                <w:sz w:val="32"/>
                <w:szCs w:val="32"/>
                <w:highlight w:val="none"/>
              </w:rPr>
              <w:t>)</w:t>
            </w:r>
            <w:r>
              <w:rPr>
                <w:rFonts w:hint="eastAsia" w:ascii="宋体" w:hAnsi="宋体" w:eastAsia="宋体" w:cs="宋体"/>
                <w:b/>
                <w:i w:val="0"/>
                <w:color w:val="auto"/>
                <w:kern w:val="0"/>
                <w:sz w:val="32"/>
                <w:szCs w:val="32"/>
                <w:highlight w:val="none"/>
                <w:u w:val="none"/>
                <w:lang w:val="en-US" w:eastAsia="zh-CN" w:bidi="ar"/>
              </w:rPr>
              <w:t xml:space="preserve"> 税金计价表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2150" w:type="dxa"/>
            <w:gridSpan w:val="3"/>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3281"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3470" w:type="dxa"/>
            <w:gridSpan w:val="3"/>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89" w:type="dxa"/>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1320"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项目名称</w:t>
            </w:r>
          </w:p>
        </w:tc>
        <w:tc>
          <w:tcPr>
            <w:tcW w:w="3422"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计算基础</w:t>
            </w:r>
          </w:p>
        </w:tc>
        <w:tc>
          <w:tcPr>
            <w:tcW w:w="938"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计算基数</w:t>
            </w:r>
          </w:p>
        </w:tc>
        <w:tc>
          <w:tcPr>
            <w:tcW w:w="1302"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费率(％)</w:t>
            </w:r>
          </w:p>
        </w:tc>
        <w:tc>
          <w:tcPr>
            <w:tcW w:w="1230" w:type="dxa"/>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增值税</w:t>
            </w: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分部分项工程费+措施项目费+不可竞争费+其他项目费</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3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7671" w:type="dxa"/>
            <w:gridSpan w:val="6"/>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  计</w:t>
            </w:r>
          </w:p>
        </w:tc>
        <w:tc>
          <w:tcPr>
            <w:tcW w:w="1230" w:type="dxa"/>
            <w:tcBorders>
              <w:top w:val="single" w:color="000000" w:sz="4" w:space="0"/>
              <w:left w:val="single" w:color="000000" w:sz="4" w:space="0"/>
              <w:bottom w:val="single" w:color="000000" w:sz="12"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bl>
    <w:p>
      <w:pPr>
        <w:pageBreakBefore w:val="0"/>
        <w:tabs>
          <w:tab w:val="left" w:pos="0"/>
        </w:tabs>
        <w:kinsoku/>
        <w:wordWrap/>
        <w:overflowPunct/>
        <w:topLinePunct w:val="0"/>
        <w:bidi w:val="0"/>
        <w:spacing w:beforeAutospacing="0" w:afterAutospacing="0" w:line="240" w:lineRule="auto"/>
        <w:jc w:val="center"/>
        <w:rPr>
          <w:rFonts w:hint="eastAsia" w:ascii="宋体" w:hAnsi="宋体" w:eastAsia="宋体" w:cs="宋体"/>
          <w:color w:val="auto"/>
          <w:kern w:val="0"/>
          <w:sz w:val="32"/>
          <w:szCs w:val="32"/>
          <w:highlight w:val="none"/>
          <w:lang w:eastAsia="zh-CN"/>
        </w:rPr>
      </w:pPr>
    </w:p>
    <w:p>
      <w:pPr>
        <w:pageBreakBefore w:val="0"/>
        <w:tabs>
          <w:tab w:val="left" w:pos="0"/>
        </w:tabs>
        <w:kinsoku/>
        <w:wordWrap/>
        <w:overflowPunct/>
        <w:topLinePunct w:val="0"/>
        <w:bidi w:val="0"/>
        <w:spacing w:beforeAutospacing="0" w:afterAutospacing="0" w:line="240" w:lineRule="auto"/>
        <w:jc w:val="center"/>
        <w:rPr>
          <w:rFonts w:hint="eastAsia" w:ascii="宋体" w:hAnsi="宋体" w:eastAsia="宋体" w:cs="宋体"/>
          <w:color w:val="auto"/>
          <w:kern w:val="0"/>
          <w:sz w:val="32"/>
          <w:szCs w:val="32"/>
          <w:highlight w:val="none"/>
          <w:lang w:eastAsia="zh-CN"/>
        </w:rPr>
      </w:pPr>
    </w:p>
    <w:p>
      <w:pPr>
        <w:pageBreakBefore w:val="0"/>
        <w:tabs>
          <w:tab w:val="left" w:pos="0"/>
        </w:tabs>
        <w:kinsoku/>
        <w:wordWrap/>
        <w:overflowPunct/>
        <w:topLinePunct w:val="0"/>
        <w:bidi w:val="0"/>
        <w:spacing w:beforeAutospacing="0" w:afterAutospacing="0" w:line="240" w:lineRule="auto"/>
        <w:jc w:val="center"/>
        <w:rPr>
          <w:rFonts w:hint="eastAsia" w:ascii="宋体" w:hAnsi="宋体" w:eastAsia="宋体" w:cs="宋体"/>
          <w:color w:val="auto"/>
          <w:kern w:val="0"/>
          <w:sz w:val="32"/>
          <w:szCs w:val="32"/>
          <w:highlight w:val="none"/>
          <w:lang w:eastAsia="zh-CN"/>
        </w:rPr>
      </w:pPr>
    </w:p>
    <w:p>
      <w:pPr>
        <w:pageBreakBefore w:val="0"/>
        <w:tabs>
          <w:tab w:val="left" w:pos="0"/>
        </w:tabs>
        <w:kinsoku/>
        <w:wordWrap/>
        <w:overflowPunct/>
        <w:topLinePunct w:val="0"/>
        <w:bidi w:val="0"/>
        <w:spacing w:beforeAutospacing="0" w:afterAutospacing="0" w:line="240" w:lineRule="auto"/>
        <w:jc w:val="center"/>
        <w:rPr>
          <w:rFonts w:hint="eastAsia" w:ascii="宋体" w:hAnsi="宋体" w:eastAsia="宋体" w:cs="宋体"/>
          <w:color w:val="auto"/>
          <w:kern w:val="0"/>
          <w:sz w:val="32"/>
          <w:szCs w:val="32"/>
          <w:highlight w:val="none"/>
          <w:lang w:eastAsia="zh-CN"/>
        </w:rPr>
      </w:pPr>
    </w:p>
    <w:p>
      <w:pPr>
        <w:pageBreakBefore w:val="0"/>
        <w:tabs>
          <w:tab w:val="left" w:pos="0"/>
        </w:tabs>
        <w:kinsoku/>
        <w:wordWrap/>
        <w:overflowPunct/>
        <w:topLinePunct w:val="0"/>
        <w:bidi w:val="0"/>
        <w:spacing w:beforeAutospacing="0" w:afterAutospacing="0" w:line="240" w:lineRule="auto"/>
        <w:jc w:val="center"/>
        <w:rPr>
          <w:rFonts w:hint="eastAsia" w:ascii="宋体" w:hAnsi="宋体" w:eastAsia="宋体" w:cs="宋体"/>
          <w:color w:val="auto"/>
          <w:kern w:val="0"/>
          <w:sz w:val="32"/>
          <w:szCs w:val="32"/>
          <w:highlight w:val="none"/>
          <w:lang w:eastAsia="zh-CN"/>
        </w:rPr>
      </w:pPr>
    </w:p>
    <w:p>
      <w:pPr>
        <w:pageBreakBefore w:val="0"/>
        <w:tabs>
          <w:tab w:val="left" w:pos="0"/>
        </w:tabs>
        <w:kinsoku/>
        <w:wordWrap/>
        <w:overflowPunct/>
        <w:topLinePunct w:val="0"/>
        <w:bidi w:val="0"/>
        <w:spacing w:beforeAutospacing="0" w:afterAutospacing="0" w:line="240" w:lineRule="auto"/>
        <w:jc w:val="center"/>
        <w:rPr>
          <w:rFonts w:hint="eastAsia" w:ascii="宋体" w:hAnsi="宋体" w:eastAsia="宋体" w:cs="宋体"/>
          <w:color w:val="auto"/>
          <w:kern w:val="0"/>
          <w:sz w:val="32"/>
          <w:szCs w:val="32"/>
          <w:highlight w:val="none"/>
          <w:lang w:eastAsia="zh-CN"/>
        </w:rPr>
      </w:pPr>
    </w:p>
    <w:p>
      <w:pPr>
        <w:pageBreakBefore w:val="0"/>
        <w:tabs>
          <w:tab w:val="left" w:pos="0"/>
        </w:tabs>
        <w:kinsoku/>
        <w:wordWrap/>
        <w:overflowPunct/>
        <w:topLinePunct w:val="0"/>
        <w:bidi w:val="0"/>
        <w:spacing w:beforeAutospacing="0" w:afterAutospacing="0" w:line="240" w:lineRule="auto"/>
        <w:jc w:val="center"/>
        <w:rPr>
          <w:rFonts w:hint="eastAsia" w:ascii="宋体" w:hAnsi="宋体" w:eastAsia="宋体" w:cs="宋体"/>
          <w:color w:val="auto"/>
          <w:kern w:val="0"/>
          <w:sz w:val="32"/>
          <w:szCs w:val="32"/>
          <w:highlight w:val="none"/>
          <w:lang w:eastAsia="zh-CN"/>
        </w:rPr>
      </w:pPr>
    </w:p>
    <w:p>
      <w:pPr>
        <w:pageBreakBefore w:val="0"/>
        <w:tabs>
          <w:tab w:val="left" w:pos="0"/>
        </w:tabs>
        <w:kinsoku/>
        <w:wordWrap/>
        <w:overflowPunct/>
        <w:topLinePunct w:val="0"/>
        <w:bidi w:val="0"/>
        <w:spacing w:beforeAutospacing="0" w:afterAutospacing="0" w:line="240" w:lineRule="auto"/>
        <w:jc w:val="center"/>
        <w:rPr>
          <w:rFonts w:hint="eastAsia" w:ascii="宋体" w:hAnsi="宋体" w:eastAsia="宋体" w:cs="宋体"/>
          <w:color w:val="auto"/>
          <w:kern w:val="0"/>
          <w:sz w:val="32"/>
          <w:szCs w:val="32"/>
          <w:highlight w:val="none"/>
          <w:lang w:eastAsia="zh-CN"/>
        </w:rPr>
      </w:pPr>
    </w:p>
    <w:p>
      <w:pPr>
        <w:pageBreakBefore w:val="0"/>
        <w:tabs>
          <w:tab w:val="left" w:pos="0"/>
        </w:tabs>
        <w:kinsoku/>
        <w:wordWrap/>
        <w:overflowPunct/>
        <w:topLinePunct w:val="0"/>
        <w:bidi w:val="0"/>
        <w:spacing w:beforeAutospacing="0" w:afterAutospacing="0" w:line="240" w:lineRule="auto"/>
        <w:jc w:val="center"/>
        <w:rPr>
          <w:rFonts w:hint="eastAsia" w:ascii="宋体" w:hAnsi="宋体" w:eastAsia="宋体" w:cs="宋体"/>
          <w:color w:val="auto"/>
          <w:kern w:val="0"/>
          <w:sz w:val="32"/>
          <w:szCs w:val="32"/>
          <w:highlight w:val="none"/>
          <w:lang w:eastAsia="zh-CN"/>
        </w:rPr>
      </w:pPr>
    </w:p>
    <w:p>
      <w:pPr>
        <w:pageBreakBefore w:val="0"/>
        <w:tabs>
          <w:tab w:val="left" w:pos="0"/>
        </w:tabs>
        <w:kinsoku/>
        <w:wordWrap/>
        <w:overflowPunct/>
        <w:topLinePunct w:val="0"/>
        <w:bidi w:val="0"/>
        <w:spacing w:beforeAutospacing="0" w:afterAutospacing="0" w:line="240" w:lineRule="auto"/>
        <w:jc w:val="center"/>
        <w:rPr>
          <w:rFonts w:hint="eastAsia" w:ascii="宋体" w:hAnsi="宋体" w:eastAsia="宋体" w:cs="宋体"/>
          <w:color w:val="auto"/>
          <w:kern w:val="0"/>
          <w:sz w:val="32"/>
          <w:szCs w:val="32"/>
          <w:highlight w:val="none"/>
          <w:lang w:eastAsia="zh-CN"/>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55"/>
        <w:gridCol w:w="4152"/>
        <w:gridCol w:w="1155"/>
        <w:gridCol w:w="1003"/>
        <w:gridCol w:w="121"/>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846" w:type="dxa"/>
            <w:gridSpan w:val="6"/>
            <w:noWrap w:val="0"/>
            <w:vAlign w:val="center"/>
          </w:tcPr>
          <w:p>
            <w:pPr>
              <w:pStyle w:val="6"/>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b/>
                <w:i w:val="0"/>
                <w:color w:val="auto"/>
                <w:sz w:val="32"/>
                <w:szCs w:val="32"/>
                <w:highlight w:val="none"/>
                <w:u w:val="none"/>
              </w:rPr>
            </w:pPr>
            <w:r>
              <w:rPr>
                <w:rFonts w:hint="eastAsia" w:ascii="宋体" w:hAnsi="宋体" w:eastAsia="宋体" w:cs="宋体"/>
                <w:color w:val="auto"/>
                <w:kern w:val="0"/>
                <w:sz w:val="32"/>
                <w:szCs w:val="32"/>
                <w:highlight w:val="none"/>
                <w:lang w:eastAsia="zh-CN"/>
              </w:rPr>
              <w:t>（十三）</w:t>
            </w:r>
            <w:r>
              <w:rPr>
                <w:rFonts w:hint="eastAsia" w:ascii="宋体" w:hAnsi="宋体" w:eastAsia="宋体" w:cs="宋体"/>
                <w:b/>
                <w:i w:val="0"/>
                <w:color w:val="auto"/>
                <w:kern w:val="0"/>
                <w:sz w:val="32"/>
                <w:szCs w:val="32"/>
                <w:highlight w:val="none"/>
                <w:u w:val="none"/>
                <w:lang w:val="en-US" w:eastAsia="zh-CN" w:bidi="ar"/>
              </w:rPr>
              <w:t xml:space="preserve"> 材料（工程设备）暂估单价一览表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462" w:type="dxa"/>
            <w:gridSpan w:val="3"/>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1003"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1381" w:type="dxa"/>
            <w:gridSpan w:val="2"/>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155" w:type="dxa"/>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4152"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材料(工程设备)名称、规格、型号</w:t>
            </w:r>
          </w:p>
        </w:tc>
        <w:tc>
          <w:tcPr>
            <w:tcW w:w="1155"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计量单位</w:t>
            </w:r>
          </w:p>
        </w:tc>
        <w:tc>
          <w:tcPr>
            <w:tcW w:w="1124"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数量</w:t>
            </w:r>
          </w:p>
        </w:tc>
        <w:tc>
          <w:tcPr>
            <w:tcW w:w="1260" w:type="dxa"/>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15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4152"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115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124" w:type="dxa"/>
            <w:gridSpan w:val="2"/>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260" w:type="dxa"/>
            <w:tcBorders>
              <w:top w:val="single" w:color="000000" w:sz="4" w:space="0"/>
              <w:left w:val="single" w:color="000000" w:sz="4" w:space="0"/>
              <w:bottom w:val="single" w:color="000000" w:sz="12"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r>
    </w:tbl>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1"/>
        <w:gridCol w:w="2562"/>
        <w:gridCol w:w="731"/>
        <w:gridCol w:w="687"/>
        <w:gridCol w:w="980"/>
        <w:gridCol w:w="1335"/>
        <w:gridCol w:w="103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916" w:type="dxa"/>
            <w:gridSpan w:val="8"/>
            <w:noWrap w:val="0"/>
            <w:vAlign w:val="center"/>
          </w:tcPr>
          <w:p>
            <w:pPr>
              <w:pStyle w:val="6"/>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b/>
                <w:i w:val="0"/>
                <w:color w:val="auto"/>
                <w:sz w:val="32"/>
                <w:szCs w:val="32"/>
                <w:highlight w:val="none"/>
                <w:u w:val="none"/>
              </w:rPr>
            </w:pPr>
            <w:r>
              <w:rPr>
                <w:rFonts w:hint="eastAsia" w:ascii="宋体" w:hAnsi="宋体" w:eastAsia="宋体" w:cs="宋体"/>
                <w:smallCaps/>
                <w:color w:val="auto"/>
                <w:sz w:val="32"/>
                <w:szCs w:val="32"/>
                <w:highlight w:val="none"/>
              </w:rPr>
              <w:t>(十</w:t>
            </w:r>
            <w:r>
              <w:rPr>
                <w:rFonts w:hint="eastAsia" w:ascii="宋体" w:hAnsi="宋体" w:eastAsia="宋体" w:cs="宋体"/>
                <w:smallCaps/>
                <w:color w:val="auto"/>
                <w:sz w:val="32"/>
                <w:szCs w:val="32"/>
                <w:highlight w:val="none"/>
                <w:lang w:eastAsia="zh-CN"/>
              </w:rPr>
              <w:t>四</w:t>
            </w:r>
            <w:r>
              <w:rPr>
                <w:rFonts w:hint="eastAsia" w:ascii="宋体" w:hAnsi="宋体" w:eastAsia="宋体" w:cs="宋体"/>
                <w:smallCaps/>
                <w:color w:val="auto"/>
                <w:sz w:val="32"/>
                <w:szCs w:val="32"/>
                <w:highlight w:val="none"/>
              </w:rPr>
              <w:t>)</w:t>
            </w:r>
            <w:r>
              <w:rPr>
                <w:rFonts w:hint="eastAsia" w:ascii="宋体" w:hAnsi="宋体" w:eastAsia="宋体" w:cs="宋体"/>
                <w:smallCaps/>
                <w:color w:val="auto"/>
                <w:sz w:val="32"/>
                <w:szCs w:val="32"/>
                <w:highlight w:val="none"/>
                <w:lang w:val="en-US" w:eastAsia="zh-CN"/>
              </w:rPr>
              <w:t xml:space="preserve">  </w:t>
            </w:r>
            <w:r>
              <w:rPr>
                <w:rFonts w:hint="eastAsia" w:ascii="宋体" w:hAnsi="宋体" w:eastAsia="宋体" w:cs="宋体"/>
                <w:b/>
                <w:i w:val="0"/>
                <w:color w:val="auto"/>
                <w:kern w:val="0"/>
                <w:sz w:val="32"/>
                <w:szCs w:val="32"/>
                <w:highlight w:val="none"/>
                <w:u w:val="none"/>
                <w:lang w:val="en-US" w:eastAsia="zh-CN" w:bidi="ar"/>
              </w:rPr>
              <w:t>发包人提供材料（工程设备）一览表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4711" w:type="dxa"/>
            <w:gridSpan w:val="4"/>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980"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3225" w:type="dxa"/>
            <w:gridSpan w:val="3"/>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731" w:type="dxa"/>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2562"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材料(工程设备)名称、规格、型号</w:t>
            </w:r>
          </w:p>
        </w:tc>
        <w:tc>
          <w:tcPr>
            <w:tcW w:w="731"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计量单位</w:t>
            </w:r>
          </w:p>
        </w:tc>
        <w:tc>
          <w:tcPr>
            <w:tcW w:w="1667"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数量</w:t>
            </w:r>
          </w:p>
        </w:tc>
        <w:tc>
          <w:tcPr>
            <w:tcW w:w="1335"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单价(元)</w:t>
            </w:r>
          </w:p>
        </w:tc>
        <w:tc>
          <w:tcPr>
            <w:tcW w:w="1035"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合价(元)</w:t>
            </w:r>
          </w:p>
        </w:tc>
        <w:tc>
          <w:tcPr>
            <w:tcW w:w="855" w:type="dxa"/>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31"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562"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31"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1667" w:type="dxa"/>
            <w:gridSpan w:val="2"/>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33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03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12"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bl>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lang w:val="en-US" w:eastAsia="zh-CN"/>
        </w:rPr>
      </w:pPr>
      <w:r>
        <w:rPr>
          <w:rFonts w:hint="eastAsia" w:ascii="宋体" w:hAnsi="宋体" w:eastAsia="宋体" w:cs="宋体"/>
          <w:smallCaps/>
          <w:color w:val="auto"/>
          <w:sz w:val="32"/>
          <w:szCs w:val="32"/>
          <w:highlight w:val="none"/>
          <w:lang w:val="en-US" w:eastAsia="zh-CN"/>
        </w:rPr>
        <w:t xml:space="preserve">    </w:t>
      </w: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lang w:val="en-US" w:eastAsia="zh-CN"/>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lang w:val="en-US" w:eastAsia="zh-CN"/>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lang w:val="en-US" w:eastAsia="zh-CN"/>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lang w:val="en-US" w:eastAsia="zh-CN"/>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lang w:val="en-US" w:eastAsia="zh-CN"/>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lang w:val="en-US" w:eastAsia="zh-CN"/>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lang w:val="en-US" w:eastAsia="zh-CN"/>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lang w:val="en-US" w:eastAsia="zh-CN"/>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lang w:val="en-US" w:eastAsia="zh-CN"/>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lang w:val="en-US" w:eastAsia="zh-CN"/>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lang w:val="en-US" w:eastAsia="zh-CN"/>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12"/>
        <w:gridCol w:w="2001"/>
        <w:gridCol w:w="701"/>
        <w:gridCol w:w="996"/>
        <w:gridCol w:w="577"/>
        <w:gridCol w:w="1034"/>
        <w:gridCol w:w="1125"/>
        <w:gridCol w:w="1110"/>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891" w:type="dxa"/>
            <w:gridSpan w:val="9"/>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smallCaps/>
                <w:color w:val="auto"/>
                <w:sz w:val="32"/>
                <w:szCs w:val="32"/>
                <w:highlight w:val="none"/>
              </w:rPr>
              <w:t>(十</w:t>
            </w:r>
            <w:r>
              <w:rPr>
                <w:rFonts w:hint="eastAsia" w:ascii="宋体" w:hAnsi="宋体" w:eastAsia="宋体" w:cs="宋体"/>
                <w:smallCaps/>
                <w:color w:val="auto"/>
                <w:sz w:val="32"/>
                <w:szCs w:val="32"/>
                <w:highlight w:val="none"/>
                <w:lang w:eastAsia="zh-CN"/>
              </w:rPr>
              <w:t>五</w:t>
            </w:r>
            <w:r>
              <w:rPr>
                <w:rFonts w:hint="eastAsia" w:ascii="宋体" w:hAnsi="宋体" w:eastAsia="宋体" w:cs="宋体"/>
                <w:smallCaps/>
                <w:color w:val="auto"/>
                <w:sz w:val="32"/>
                <w:szCs w:val="32"/>
                <w:highlight w:val="none"/>
              </w:rPr>
              <w:t>)</w:t>
            </w:r>
            <w:r>
              <w:rPr>
                <w:rFonts w:hint="eastAsia" w:ascii="宋体" w:hAnsi="宋体" w:eastAsia="宋体" w:cs="宋体"/>
                <w:smallCaps/>
                <w:color w:val="auto"/>
                <w:sz w:val="32"/>
                <w:szCs w:val="32"/>
                <w:highlight w:val="none"/>
                <w:lang w:val="en-US" w:eastAsia="zh-CN"/>
              </w:rPr>
              <w:t xml:space="preserve"> </w:t>
            </w:r>
            <w:r>
              <w:rPr>
                <w:rFonts w:hint="eastAsia" w:ascii="宋体" w:hAnsi="宋体" w:eastAsia="宋体" w:cs="宋体"/>
                <w:b/>
                <w:i w:val="0"/>
                <w:color w:val="auto"/>
                <w:kern w:val="0"/>
                <w:sz w:val="32"/>
                <w:szCs w:val="32"/>
                <w:highlight w:val="none"/>
                <w:u w:val="none"/>
                <w:lang w:val="en-US" w:eastAsia="zh-CN" w:bidi="ar"/>
              </w:rPr>
              <w:t xml:space="preserve"> 承包人提供材料（工程设备）一览表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4887" w:type="dxa"/>
            <w:gridSpan w:val="5"/>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default"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工程名称：</w:t>
            </w:r>
          </w:p>
        </w:tc>
        <w:tc>
          <w:tcPr>
            <w:tcW w:w="1034" w:type="dxa"/>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center"/>
              <w:rPr>
                <w:rFonts w:hint="eastAsia" w:ascii="黑体" w:hAnsi="宋体" w:eastAsia="黑体" w:cs="黑体"/>
                <w:i w:val="0"/>
                <w:color w:val="auto"/>
                <w:sz w:val="21"/>
                <w:szCs w:val="21"/>
                <w:highlight w:val="none"/>
                <w:u w:val="none"/>
              </w:rPr>
            </w:pPr>
          </w:p>
        </w:tc>
        <w:tc>
          <w:tcPr>
            <w:tcW w:w="2970" w:type="dxa"/>
            <w:gridSpan w:val="3"/>
            <w:tcBorders>
              <w:bottom w:val="single" w:color="000000" w:sz="12"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right"/>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612" w:type="dxa"/>
            <w:tcBorders>
              <w:top w:val="single" w:color="000000" w:sz="12" w:space="0"/>
              <w:left w:val="single" w:color="000000" w:sz="12"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序号</w:t>
            </w:r>
          </w:p>
        </w:tc>
        <w:tc>
          <w:tcPr>
            <w:tcW w:w="2001"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材料（工程设备）名称、规格、型号</w:t>
            </w:r>
          </w:p>
        </w:tc>
        <w:tc>
          <w:tcPr>
            <w:tcW w:w="701"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计量单位</w:t>
            </w:r>
          </w:p>
        </w:tc>
        <w:tc>
          <w:tcPr>
            <w:tcW w:w="996"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数量</w:t>
            </w:r>
          </w:p>
        </w:tc>
        <w:tc>
          <w:tcPr>
            <w:tcW w:w="1611" w:type="dxa"/>
            <w:gridSpan w:val="2"/>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风险系数(%)</w:t>
            </w:r>
          </w:p>
        </w:tc>
        <w:tc>
          <w:tcPr>
            <w:tcW w:w="1125"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基准单价</w:t>
            </w:r>
          </w:p>
        </w:tc>
        <w:tc>
          <w:tcPr>
            <w:tcW w:w="1110" w:type="dxa"/>
            <w:tcBorders>
              <w:top w:val="single" w:color="000000" w:sz="12"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投标单价</w:t>
            </w:r>
          </w:p>
        </w:tc>
        <w:tc>
          <w:tcPr>
            <w:tcW w:w="735" w:type="dxa"/>
            <w:tcBorders>
              <w:top w:val="single" w:color="000000" w:sz="12" w:space="0"/>
              <w:left w:val="single" w:color="000000" w:sz="4" w:space="0"/>
              <w:bottom w:val="single" w:color="000000" w:sz="4" w:space="0"/>
              <w:right w:val="single" w:color="000000" w:sz="12"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黑体" w:hAnsi="宋体" w:eastAsia="黑体" w:cs="黑体"/>
                <w:i w:val="0"/>
                <w:color w:val="auto"/>
                <w:sz w:val="21"/>
                <w:szCs w:val="21"/>
                <w:highlight w:val="none"/>
                <w:u w:val="none"/>
              </w:rPr>
            </w:pPr>
            <w:r>
              <w:rPr>
                <w:rFonts w:hint="eastAsia" w:ascii="黑体" w:hAnsi="宋体" w:eastAsia="黑体" w:cs="黑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612"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2001"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c>
          <w:tcPr>
            <w:tcW w:w="701"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i w:val="0"/>
                <w:color w:val="auto"/>
                <w:sz w:val="21"/>
                <w:szCs w:val="21"/>
                <w:highlight w:val="none"/>
                <w:u w:val="none"/>
              </w:rPr>
            </w:pPr>
          </w:p>
        </w:tc>
        <w:tc>
          <w:tcPr>
            <w:tcW w:w="99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611" w:type="dxa"/>
            <w:gridSpan w:val="2"/>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2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right"/>
              <w:rPr>
                <w:rFonts w:hint="eastAsia" w:ascii="宋体" w:hAnsi="宋体" w:eastAsia="宋体" w:cs="宋体"/>
                <w:i w:val="0"/>
                <w:color w:val="auto"/>
                <w:sz w:val="21"/>
                <w:szCs w:val="21"/>
                <w:highlight w:val="none"/>
                <w:u w:val="none"/>
              </w:rPr>
            </w:pPr>
          </w:p>
        </w:tc>
        <w:tc>
          <w:tcPr>
            <w:tcW w:w="735" w:type="dxa"/>
            <w:tcBorders>
              <w:top w:val="single" w:color="000000" w:sz="4" w:space="0"/>
              <w:left w:val="single" w:color="000000" w:sz="4" w:space="0"/>
              <w:bottom w:val="single" w:color="000000" w:sz="12" w:space="0"/>
              <w:right w:val="single" w:color="000000" w:sz="12"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i w:val="0"/>
                <w:color w:val="auto"/>
                <w:sz w:val="21"/>
                <w:szCs w:val="21"/>
                <w:highlight w:val="none"/>
                <w:u w:val="none"/>
              </w:rPr>
            </w:pPr>
          </w:p>
        </w:tc>
      </w:tr>
    </w:tbl>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smallCaps/>
          <w:color w:val="auto"/>
          <w:sz w:val="32"/>
          <w:szCs w:val="32"/>
          <w:highlight w:val="none"/>
        </w:rPr>
      </w:pPr>
    </w:p>
    <w:p>
      <w:pPr>
        <w:pStyle w:val="6"/>
        <w:pageBreakBefore w:val="0"/>
        <w:kinsoku/>
        <w:wordWrap/>
        <w:overflowPunct/>
        <w:topLinePunct w:val="0"/>
        <w:bidi w:val="0"/>
        <w:spacing w:beforeAutospacing="0" w:afterAutospacing="0" w:line="240" w:lineRule="auto"/>
        <w:ind w:firstLine="0" w:firstLineChars="0"/>
        <w:jc w:val="center"/>
        <w:rPr>
          <w:rFonts w:hint="eastAsia" w:ascii="宋体" w:hAnsi="宋体" w:eastAsia="宋体" w:cs="宋体"/>
          <w:color w:val="auto"/>
          <w:sz w:val="32"/>
          <w:szCs w:val="32"/>
          <w:highlight w:val="none"/>
        </w:rPr>
      </w:pPr>
      <w:r>
        <w:rPr>
          <w:rFonts w:hint="eastAsia" w:ascii="宋体" w:hAnsi="宋体" w:eastAsia="宋体" w:cs="宋体"/>
          <w:smallCaps/>
          <w:color w:val="auto"/>
          <w:sz w:val="32"/>
          <w:szCs w:val="32"/>
          <w:highlight w:val="none"/>
        </w:rPr>
        <w:t>(十</w:t>
      </w:r>
      <w:r>
        <w:rPr>
          <w:rFonts w:hint="eastAsia" w:ascii="宋体" w:hAnsi="宋体" w:eastAsia="宋体" w:cs="宋体"/>
          <w:smallCaps/>
          <w:color w:val="auto"/>
          <w:sz w:val="32"/>
          <w:szCs w:val="32"/>
          <w:highlight w:val="none"/>
          <w:lang w:eastAsia="zh-CN"/>
        </w:rPr>
        <w:t>六</w:t>
      </w:r>
      <w:r>
        <w:rPr>
          <w:rFonts w:hint="eastAsia" w:ascii="宋体" w:hAnsi="宋体" w:eastAsia="宋体" w:cs="宋体"/>
          <w:smallCaps/>
          <w:color w:val="auto"/>
          <w:sz w:val="32"/>
          <w:szCs w:val="32"/>
          <w:highlight w:val="none"/>
        </w:rPr>
        <w:t>)</w:t>
      </w:r>
      <w:r>
        <w:rPr>
          <w:rFonts w:hint="eastAsia" w:hAnsi="宋体" w:cs="宋体"/>
          <w:b/>
          <w:bCs/>
          <w:smallCaps/>
          <w:color w:val="auto"/>
          <w:sz w:val="32"/>
          <w:szCs w:val="32"/>
          <w:highlight w:val="none"/>
          <w:lang w:eastAsia="zh-CN"/>
        </w:rPr>
        <w:t>谈判报价</w:t>
      </w:r>
      <w:r>
        <w:rPr>
          <w:rFonts w:hint="eastAsia" w:ascii="宋体" w:hAnsi="宋体" w:eastAsia="宋体" w:cs="宋体"/>
          <w:b/>
          <w:bCs/>
          <w:color w:val="auto"/>
          <w:sz w:val="32"/>
          <w:szCs w:val="32"/>
          <w:highlight w:val="none"/>
        </w:rPr>
        <w:t>需要说明的其他资料</w:t>
      </w:r>
    </w:p>
    <w:p>
      <w:pPr>
        <w:pStyle w:val="6"/>
        <w:pageBreakBefore w:val="0"/>
        <w:kinsoku/>
        <w:wordWrap/>
        <w:overflowPunct/>
        <w:topLinePunct w:val="0"/>
        <w:bidi w:val="0"/>
        <w:spacing w:beforeAutospacing="0" w:afterAutospacing="0" w:line="240" w:lineRule="auto"/>
        <w:ind w:firstLine="480"/>
        <w:jc w:val="center"/>
        <w:rPr>
          <w:rFonts w:hint="eastAsia" w:ascii="宋体" w:hAnsi="宋体" w:eastAsia="宋体" w:cs="宋体"/>
          <w:color w:val="auto"/>
          <w:sz w:val="24"/>
          <w:highlight w:val="none"/>
        </w:rPr>
      </w:pPr>
      <w:r>
        <w:rPr>
          <w:rFonts w:hint="eastAsia" w:hAnsi="宋体" w:cs="宋体"/>
          <w:color w:val="auto"/>
          <w:sz w:val="24"/>
          <w:highlight w:val="none"/>
          <w:lang w:eastAsia="zh-CN"/>
        </w:rPr>
        <w:t>谈判响应人</w:t>
      </w:r>
      <w:r>
        <w:rPr>
          <w:rFonts w:hint="eastAsia" w:ascii="宋体" w:hAnsi="宋体" w:eastAsia="宋体" w:cs="宋体"/>
          <w:color w:val="auto"/>
          <w:sz w:val="24"/>
          <w:highlight w:val="none"/>
        </w:rPr>
        <w:t>认为需对其</w:t>
      </w:r>
      <w:r>
        <w:rPr>
          <w:rFonts w:hint="eastAsia" w:hAnsi="宋体" w:cs="宋体"/>
          <w:color w:val="auto"/>
          <w:sz w:val="24"/>
          <w:highlight w:val="none"/>
          <w:lang w:eastAsia="zh-CN"/>
        </w:rPr>
        <w:t>谈判报价</w:t>
      </w:r>
      <w:r>
        <w:rPr>
          <w:rFonts w:hint="eastAsia" w:ascii="宋体" w:hAnsi="宋体" w:eastAsia="宋体" w:cs="宋体"/>
          <w:color w:val="auto"/>
          <w:sz w:val="24"/>
          <w:highlight w:val="none"/>
        </w:rPr>
        <w:t>进行其他补充说明及证明材料。</w:t>
      </w:r>
    </w:p>
    <w:bookmarkEnd w:id="288"/>
    <w:p>
      <w:pPr>
        <w:pStyle w:val="4"/>
        <w:pageBreakBefore w:val="0"/>
        <w:kinsoku/>
        <w:wordWrap/>
        <w:overflowPunct/>
        <w:topLinePunct w:val="0"/>
        <w:bidi w:val="0"/>
        <w:spacing w:before="0" w:after="0" w:line="240" w:lineRule="auto"/>
        <w:rPr>
          <w:rFonts w:hint="eastAsia" w:ascii="宋体" w:hAnsi="宋体" w:eastAsia="宋体" w:cs="宋体"/>
          <w:color w:val="auto"/>
          <w:sz w:val="32"/>
          <w:szCs w:val="32"/>
          <w:highlight w:val="none"/>
        </w:rPr>
      </w:pPr>
      <w:bookmarkStart w:id="299" w:name="_Toc7418"/>
    </w:p>
    <w:p>
      <w:pPr>
        <w:pStyle w:val="4"/>
        <w:pageBreakBefore w:val="0"/>
        <w:kinsoku/>
        <w:wordWrap/>
        <w:overflowPunct/>
        <w:topLinePunct w:val="0"/>
        <w:bidi w:val="0"/>
        <w:spacing w:before="0" w:after="0" w:line="240" w:lineRule="auto"/>
        <w:rPr>
          <w:rFonts w:hint="eastAsia" w:ascii="宋体" w:hAnsi="宋体" w:eastAsia="宋体" w:cs="宋体"/>
          <w:color w:val="auto"/>
          <w:sz w:val="32"/>
          <w:szCs w:val="32"/>
          <w:highlight w:val="none"/>
        </w:rPr>
      </w:pPr>
    </w:p>
    <w:p>
      <w:pPr>
        <w:pStyle w:val="4"/>
        <w:pageBreakBefore w:val="0"/>
        <w:kinsoku/>
        <w:wordWrap/>
        <w:overflowPunct/>
        <w:topLinePunct w:val="0"/>
        <w:bidi w:val="0"/>
        <w:spacing w:before="0" w:after="0"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line="240" w:lineRule="auto"/>
        <w:rPr>
          <w:rFonts w:hint="eastAsia" w:ascii="宋体" w:hAnsi="宋体" w:eastAsia="宋体" w:cs="宋体"/>
          <w:color w:val="auto"/>
          <w:sz w:val="32"/>
          <w:szCs w:val="32"/>
          <w:highlight w:val="none"/>
        </w:rPr>
      </w:pPr>
    </w:p>
    <w:p>
      <w:pPr>
        <w:pStyle w:val="4"/>
        <w:pageBreakBefore w:val="0"/>
        <w:kinsoku/>
        <w:wordWrap/>
        <w:overflowPunct/>
        <w:topLinePunct w:val="0"/>
        <w:bidi w:val="0"/>
        <w:spacing w:before="0" w:after="0"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line="240" w:lineRule="auto"/>
        <w:rPr>
          <w:rFonts w:hint="eastAsia" w:ascii="宋体" w:hAnsi="宋体" w:eastAsia="宋体" w:cs="宋体"/>
          <w:color w:val="auto"/>
          <w:sz w:val="32"/>
          <w:szCs w:val="32"/>
          <w:highlight w:val="none"/>
        </w:rPr>
      </w:pPr>
    </w:p>
    <w:p>
      <w:pPr>
        <w:pageBreakBefore w:val="0"/>
        <w:kinsoku/>
        <w:wordWrap/>
        <w:overflowPunct/>
        <w:topLinePunct w:val="0"/>
        <w:bidi w:val="0"/>
        <w:spacing w:line="240" w:lineRule="auto"/>
        <w:rPr>
          <w:rFonts w:hint="eastAsia" w:ascii="宋体" w:hAnsi="宋体" w:eastAsia="宋体" w:cs="宋体"/>
          <w:color w:val="auto"/>
          <w:sz w:val="32"/>
          <w:szCs w:val="32"/>
          <w:highlight w:val="none"/>
        </w:rPr>
      </w:pPr>
    </w:p>
    <w:p>
      <w:pPr>
        <w:pStyle w:val="4"/>
        <w:pageBreakBefore w:val="0"/>
        <w:kinsoku/>
        <w:wordWrap/>
        <w:overflowPunct/>
        <w:topLinePunct w:val="0"/>
        <w:bidi w:val="0"/>
        <w:spacing w:before="0" w:after="0" w:line="240" w:lineRule="auto"/>
        <w:jc w:val="both"/>
        <w:rPr>
          <w:rFonts w:hint="eastAsia" w:ascii="宋体" w:hAnsi="宋体" w:eastAsia="宋体" w:cs="宋体"/>
          <w:color w:val="auto"/>
          <w:sz w:val="32"/>
          <w:szCs w:val="32"/>
          <w:highlight w:val="none"/>
        </w:rPr>
      </w:pPr>
    </w:p>
    <w:p>
      <w:pPr>
        <w:pageBreakBefore w:val="0"/>
        <w:kinsoku/>
        <w:wordWrap/>
        <w:overflowPunct/>
        <w:topLinePunct w:val="0"/>
        <w:bidi w:val="0"/>
        <w:spacing w:line="240" w:lineRule="auto"/>
        <w:rPr>
          <w:rFonts w:hint="eastAsia" w:ascii="宋体" w:hAnsi="宋体" w:eastAsia="宋体" w:cs="宋体"/>
          <w:color w:val="auto"/>
          <w:highlight w:val="none"/>
        </w:rPr>
      </w:pPr>
    </w:p>
    <w:p>
      <w:pPr>
        <w:pStyle w:val="4"/>
        <w:pageBreakBefore w:val="0"/>
        <w:kinsoku/>
        <w:wordWrap/>
        <w:overflowPunct/>
        <w:topLinePunct w:val="0"/>
        <w:bidi w:val="0"/>
        <w:spacing w:before="0" w:after="0" w:line="240" w:lineRule="auto"/>
        <w:rPr>
          <w:rFonts w:hint="eastAsia" w:ascii="宋体" w:hAnsi="宋体" w:eastAsia="宋体" w:cs="宋体"/>
          <w:color w:val="auto"/>
          <w:sz w:val="32"/>
          <w:szCs w:val="32"/>
          <w:highlight w:val="none"/>
        </w:rPr>
      </w:pPr>
      <w:bookmarkStart w:id="300" w:name="_Toc20684"/>
      <w:bookmarkStart w:id="301" w:name="_Toc15368"/>
      <w:r>
        <w:rPr>
          <w:rFonts w:hint="eastAsia" w:ascii="宋体" w:hAnsi="宋体" w:eastAsia="宋体" w:cs="宋体"/>
          <w:color w:val="auto"/>
          <w:sz w:val="32"/>
          <w:szCs w:val="32"/>
          <w:highlight w:val="none"/>
        </w:rPr>
        <w:t>技术标</w:t>
      </w:r>
      <w:bookmarkEnd w:id="299"/>
      <w:bookmarkEnd w:id="300"/>
      <w:bookmarkEnd w:id="301"/>
    </w:p>
    <w:p>
      <w:pPr>
        <w:pStyle w:val="11"/>
        <w:pageBreakBefore w:val="0"/>
        <w:kinsoku/>
        <w:wordWrap/>
        <w:overflowPunct/>
        <w:topLinePunct w:val="0"/>
        <w:bidi w:val="0"/>
        <w:adjustRightInd w:val="0"/>
        <w:snapToGrid w:val="0"/>
        <w:spacing w:before="95" w:beforeLines="20" w:after="95" w:afterLines="20" w:line="240" w:lineRule="auto"/>
        <w:ind w:left="0" w:left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封面格式</w:t>
      </w:r>
    </w:p>
    <w:p>
      <w:pPr>
        <w:pStyle w:val="11"/>
        <w:pageBreakBefore w:val="0"/>
        <w:kinsoku/>
        <w:wordWrap/>
        <w:overflowPunct/>
        <w:topLinePunct w:val="0"/>
        <w:bidi w:val="0"/>
        <w:adjustRightInd w:val="0"/>
        <w:snapToGrid w:val="0"/>
        <w:spacing w:before="95" w:beforeLines="20" w:after="95" w:afterLines="20" w:line="240" w:lineRule="auto"/>
        <w:ind w:left="0" w:leftChars="0" w:firstLine="2400" w:firstLineChars="1000"/>
        <w:jc w:val="left"/>
        <w:rPr>
          <w:rFonts w:hint="eastAsia" w:ascii="宋体" w:hAnsi="宋体" w:eastAsia="宋体" w:cs="宋体"/>
          <w:color w:val="auto"/>
          <w:sz w:val="24"/>
          <w:highlight w:val="none"/>
        </w:rPr>
      </w:pPr>
    </w:p>
    <w:p>
      <w:pPr>
        <w:pStyle w:val="11"/>
        <w:pageBreakBefore w:val="0"/>
        <w:kinsoku/>
        <w:wordWrap/>
        <w:overflowPunct/>
        <w:topLinePunct w:val="0"/>
        <w:bidi w:val="0"/>
        <w:adjustRightInd w:val="0"/>
        <w:snapToGrid w:val="0"/>
        <w:spacing w:before="95" w:beforeLines="20" w:after="95" w:afterLines="20" w:line="240" w:lineRule="auto"/>
        <w:ind w:left="0" w:leftChars="0" w:firstLine="2400" w:firstLineChars="1000"/>
        <w:jc w:val="left"/>
        <w:rPr>
          <w:rFonts w:hint="eastAsia" w:ascii="宋体" w:hAnsi="宋体" w:eastAsia="宋体" w:cs="宋体"/>
          <w:color w:val="auto"/>
          <w:sz w:val="28"/>
          <w:highlight w:val="none"/>
          <w:u w:val="singl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8"/>
          <w:highlight w:val="none"/>
        </w:rPr>
        <w:t>工程</w:t>
      </w:r>
    </w:p>
    <w:p>
      <w:pPr>
        <w:pageBreakBefore w:val="0"/>
        <w:kinsoku/>
        <w:wordWrap/>
        <w:overflowPunct/>
        <w:topLinePunct w:val="0"/>
        <w:bidi w:val="0"/>
        <w:adjustRightInd w:val="0"/>
        <w:snapToGrid w:val="0"/>
        <w:spacing w:before="95" w:beforeLines="20" w:after="95" w:afterLines="20" w:line="240" w:lineRule="auto"/>
        <w:rPr>
          <w:rFonts w:hint="eastAsia" w:ascii="宋体" w:hAnsi="宋体" w:eastAsia="宋体" w:cs="宋体"/>
          <w:color w:val="auto"/>
          <w:sz w:val="24"/>
          <w:highlight w:val="none"/>
          <w:u w:val="single"/>
        </w:rPr>
      </w:pPr>
    </w:p>
    <w:p>
      <w:pPr>
        <w:pStyle w:val="10"/>
        <w:pageBreakBefore w:val="0"/>
        <w:kinsoku/>
        <w:wordWrap/>
        <w:overflowPunct/>
        <w:topLinePunct w:val="0"/>
        <w:bidi w:val="0"/>
        <w:adjustRightInd w:val="0"/>
        <w:snapToGrid w:val="0"/>
        <w:spacing w:before="95" w:beforeLines="20" w:after="95" w:afterLines="20" w:line="24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谈 判 响 应 文 件</w:t>
      </w:r>
    </w:p>
    <w:p>
      <w:pPr>
        <w:pStyle w:val="10"/>
        <w:pageBreakBefore w:val="0"/>
        <w:kinsoku/>
        <w:wordWrap/>
        <w:overflowPunct/>
        <w:topLinePunct w:val="0"/>
        <w:bidi w:val="0"/>
        <w:adjustRightInd w:val="0"/>
        <w:snapToGrid w:val="0"/>
        <w:spacing w:before="95" w:beforeLines="20" w:after="95" w:afterLines="20" w:line="240" w:lineRule="auto"/>
        <w:jc w:val="center"/>
        <w:rPr>
          <w:rFonts w:hint="eastAsia" w:ascii="宋体" w:hAnsi="宋体" w:eastAsia="宋体" w:cs="宋体"/>
          <w:color w:val="auto"/>
          <w:sz w:val="32"/>
          <w:szCs w:val="32"/>
          <w:highlight w:val="none"/>
          <w:lang w:eastAsia="zh-CN"/>
        </w:rPr>
      </w:pPr>
    </w:p>
    <w:p>
      <w:pPr>
        <w:pStyle w:val="10"/>
        <w:pageBreakBefore w:val="0"/>
        <w:kinsoku/>
        <w:wordWrap/>
        <w:overflowPunct/>
        <w:topLinePunct w:val="0"/>
        <w:bidi w:val="0"/>
        <w:adjustRightInd w:val="0"/>
        <w:snapToGrid w:val="0"/>
        <w:spacing w:before="95" w:beforeLines="20" w:after="95" w:afterLines="20" w:line="240" w:lineRule="auto"/>
        <w:jc w:val="center"/>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lang w:eastAsia="zh-CN"/>
        </w:rPr>
        <w:t>项目编号</w:t>
      </w:r>
      <w:r>
        <w:rPr>
          <w:rFonts w:hint="eastAsia" w:ascii="宋体" w:hAnsi="宋体" w:eastAsia="宋体" w:cs="宋体"/>
          <w:color w:val="auto"/>
          <w:sz w:val="32"/>
          <w:szCs w:val="32"/>
          <w:highlight w:val="none"/>
        </w:rPr>
        <w:t>：</w:t>
      </w:r>
    </w:p>
    <w:p>
      <w:pPr>
        <w:pageBreakBefore w:val="0"/>
        <w:kinsoku/>
        <w:wordWrap/>
        <w:overflowPunct/>
        <w:topLinePunct w:val="0"/>
        <w:bidi w:val="0"/>
        <w:adjustRightInd w:val="0"/>
        <w:snapToGrid w:val="0"/>
        <w:spacing w:before="95" w:beforeLines="20" w:after="95" w:afterLines="20" w:line="240" w:lineRule="auto"/>
        <w:jc w:val="center"/>
        <w:rPr>
          <w:rFonts w:hint="eastAsia" w:ascii="宋体" w:hAnsi="宋体" w:eastAsia="宋体" w:cs="宋体"/>
          <w:b/>
          <w:color w:val="auto"/>
          <w:sz w:val="24"/>
          <w:highlight w:val="none"/>
        </w:rPr>
      </w:pPr>
    </w:p>
    <w:p>
      <w:pPr>
        <w:pageBreakBefore w:val="0"/>
        <w:kinsoku/>
        <w:wordWrap/>
        <w:overflowPunct/>
        <w:topLinePunct w:val="0"/>
        <w:bidi w:val="0"/>
        <w:adjustRightInd w:val="0"/>
        <w:snapToGrid w:val="0"/>
        <w:spacing w:before="95" w:beforeLines="20" w:after="95" w:afterLines="20" w:line="240" w:lineRule="auto"/>
        <w:jc w:val="center"/>
        <w:rPr>
          <w:rFonts w:hint="eastAsia" w:ascii="宋体" w:hAnsi="宋体" w:eastAsia="宋体" w:cs="宋体"/>
          <w:b/>
          <w:color w:val="auto"/>
          <w:sz w:val="24"/>
          <w:highlight w:val="none"/>
        </w:rPr>
      </w:pPr>
    </w:p>
    <w:p>
      <w:pPr>
        <w:pageBreakBefore w:val="0"/>
        <w:kinsoku/>
        <w:wordWrap/>
        <w:overflowPunct/>
        <w:topLinePunct w:val="0"/>
        <w:bidi w:val="0"/>
        <w:adjustRightInd w:val="0"/>
        <w:snapToGrid w:val="0"/>
        <w:spacing w:before="95" w:beforeLines="20" w:after="95" w:afterLines="20" w:line="240" w:lineRule="auto"/>
        <w:jc w:val="center"/>
        <w:rPr>
          <w:rFonts w:hint="eastAsia" w:ascii="宋体" w:hAnsi="宋体" w:eastAsia="宋体" w:cs="宋体"/>
          <w:b/>
          <w:color w:val="auto"/>
          <w:sz w:val="24"/>
          <w:highlight w:val="none"/>
        </w:rPr>
      </w:pPr>
    </w:p>
    <w:p>
      <w:pPr>
        <w:pageBreakBefore w:val="0"/>
        <w:kinsoku/>
        <w:wordWrap/>
        <w:overflowPunct/>
        <w:topLinePunct w:val="0"/>
        <w:bidi w:val="0"/>
        <w:adjustRightInd w:val="0"/>
        <w:snapToGrid w:val="0"/>
        <w:spacing w:before="95" w:beforeLines="20" w:after="95" w:afterLines="20" w:line="240" w:lineRule="auto"/>
        <w:jc w:val="center"/>
        <w:rPr>
          <w:rFonts w:hint="eastAsia" w:ascii="宋体" w:hAnsi="宋体" w:eastAsia="宋体" w:cs="宋体"/>
          <w:b/>
          <w:color w:val="auto"/>
          <w:sz w:val="24"/>
          <w:highlight w:val="none"/>
        </w:rPr>
      </w:pPr>
    </w:p>
    <w:p>
      <w:pPr>
        <w:pageBreakBefore w:val="0"/>
        <w:kinsoku/>
        <w:wordWrap/>
        <w:overflowPunct/>
        <w:topLinePunct w:val="0"/>
        <w:bidi w:val="0"/>
        <w:adjustRightInd w:val="0"/>
        <w:snapToGrid w:val="0"/>
        <w:spacing w:before="95" w:beforeLines="20" w:after="95" w:afterLines="20" w:line="240" w:lineRule="auto"/>
        <w:jc w:val="center"/>
        <w:rPr>
          <w:rFonts w:hint="eastAsia" w:ascii="宋体" w:hAnsi="宋体" w:eastAsia="宋体" w:cs="宋体"/>
          <w:b/>
          <w:color w:val="auto"/>
          <w:sz w:val="24"/>
          <w:highlight w:val="none"/>
        </w:rPr>
      </w:pPr>
    </w:p>
    <w:p>
      <w:pPr>
        <w:pageBreakBefore w:val="0"/>
        <w:kinsoku/>
        <w:wordWrap/>
        <w:overflowPunct/>
        <w:topLinePunct w:val="0"/>
        <w:bidi w:val="0"/>
        <w:adjustRightInd w:val="0"/>
        <w:snapToGrid w:val="0"/>
        <w:spacing w:before="95" w:beforeLines="20" w:after="95" w:afterLines="20" w:line="240" w:lineRule="auto"/>
        <w:jc w:val="center"/>
        <w:rPr>
          <w:rFonts w:hint="eastAsia" w:ascii="宋体" w:hAnsi="宋体" w:eastAsia="宋体" w:cs="宋体"/>
          <w:b/>
          <w:color w:val="auto"/>
          <w:highlight w:val="none"/>
        </w:rPr>
      </w:pPr>
    </w:p>
    <w:p>
      <w:pPr>
        <w:pageBreakBefore w:val="0"/>
        <w:kinsoku/>
        <w:wordWrap/>
        <w:overflowPunct/>
        <w:topLinePunct w:val="0"/>
        <w:bidi w:val="0"/>
        <w:adjustRightInd w:val="0"/>
        <w:snapToGrid w:val="0"/>
        <w:spacing w:before="95" w:beforeLines="20" w:after="95" w:afterLines="20" w:line="240" w:lineRule="auto"/>
        <w:jc w:val="center"/>
        <w:rPr>
          <w:rFonts w:hint="eastAsia" w:ascii="宋体" w:hAnsi="宋体" w:eastAsia="宋体" w:cs="宋体"/>
          <w:b/>
          <w:color w:val="auto"/>
          <w:highlight w:val="none"/>
        </w:rPr>
      </w:pPr>
    </w:p>
    <w:p>
      <w:pPr>
        <w:pStyle w:val="10"/>
        <w:pageBreakBefore w:val="0"/>
        <w:kinsoku/>
        <w:wordWrap/>
        <w:overflowPunct/>
        <w:topLinePunct w:val="0"/>
        <w:bidi w:val="0"/>
        <w:adjustRightInd w:val="0"/>
        <w:snapToGrid w:val="0"/>
        <w:spacing w:before="95" w:beforeLines="20" w:after="95" w:afterLines="20" w:line="240" w:lineRule="auto"/>
        <w:ind w:firstLine="1205" w:firstLineChars="400"/>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项目名称：</w:t>
      </w:r>
      <w:r>
        <w:rPr>
          <w:rFonts w:hint="eastAsia" w:ascii="宋体" w:hAnsi="宋体" w:eastAsia="宋体" w:cs="宋体"/>
          <w:b/>
          <w:color w:val="auto"/>
          <w:sz w:val="30"/>
          <w:szCs w:val="30"/>
          <w:highlight w:val="none"/>
          <w:u w:val="single"/>
        </w:rPr>
        <w:t xml:space="preserve">                             　    </w:t>
      </w:r>
    </w:p>
    <w:p>
      <w:pPr>
        <w:pageBreakBefore w:val="0"/>
        <w:kinsoku/>
        <w:wordWrap/>
        <w:overflowPunct/>
        <w:topLinePunct w:val="0"/>
        <w:bidi w:val="0"/>
        <w:adjustRightInd w:val="0"/>
        <w:snapToGrid w:val="0"/>
        <w:spacing w:before="95" w:beforeLines="20" w:after="95" w:afterLines="20" w:line="240" w:lineRule="auto"/>
        <w:ind w:firstLine="1205" w:firstLineChars="400"/>
        <w:rPr>
          <w:rFonts w:hint="eastAsia" w:ascii="宋体" w:hAnsi="宋体" w:eastAsia="宋体" w:cs="宋体"/>
          <w:b/>
          <w:bCs/>
          <w:color w:val="auto"/>
          <w:sz w:val="30"/>
          <w:szCs w:val="30"/>
          <w:highlight w:val="none"/>
          <w:u w:val="single"/>
        </w:rPr>
      </w:pPr>
      <w:r>
        <w:rPr>
          <w:rFonts w:hint="eastAsia" w:ascii="宋体" w:hAnsi="宋体" w:cs="宋体"/>
          <w:b/>
          <w:bCs/>
          <w:color w:val="auto"/>
          <w:sz w:val="30"/>
          <w:szCs w:val="30"/>
          <w:highlight w:val="none"/>
          <w:lang w:eastAsia="zh-CN"/>
        </w:rPr>
        <w:t>谈判响应文件</w:t>
      </w:r>
      <w:r>
        <w:rPr>
          <w:rFonts w:hint="eastAsia" w:ascii="宋体" w:hAnsi="宋体" w:eastAsia="宋体" w:cs="宋体"/>
          <w:b/>
          <w:bCs/>
          <w:color w:val="auto"/>
          <w:sz w:val="30"/>
          <w:szCs w:val="30"/>
          <w:highlight w:val="none"/>
        </w:rPr>
        <w:t>内容：</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u w:val="single"/>
        </w:rPr>
        <w:tab/>
      </w:r>
      <w:r>
        <w:rPr>
          <w:rFonts w:hint="eastAsia" w:ascii="宋体" w:hAnsi="宋体" w:eastAsia="宋体" w:cs="宋体"/>
          <w:b/>
          <w:bCs/>
          <w:color w:val="auto"/>
          <w:sz w:val="30"/>
          <w:szCs w:val="30"/>
          <w:highlight w:val="none"/>
          <w:u w:val="single"/>
        </w:rPr>
        <w:t xml:space="preserve"> </w:t>
      </w:r>
      <w:r>
        <w:rPr>
          <w:rFonts w:hint="eastAsia" w:ascii="宋体" w:hAnsi="宋体" w:cs="宋体"/>
          <w:b/>
          <w:bCs/>
          <w:color w:val="auto"/>
          <w:sz w:val="30"/>
          <w:szCs w:val="30"/>
          <w:highlight w:val="none"/>
          <w:u w:val="single"/>
          <w:lang w:eastAsia="zh-CN"/>
        </w:rPr>
        <w:t>谈判响应文件</w:t>
      </w:r>
      <w:r>
        <w:rPr>
          <w:rFonts w:hint="eastAsia" w:ascii="宋体" w:hAnsi="宋体" w:eastAsia="宋体" w:cs="宋体"/>
          <w:b/>
          <w:bCs/>
          <w:color w:val="auto"/>
          <w:sz w:val="30"/>
          <w:szCs w:val="30"/>
          <w:highlight w:val="none"/>
          <w:u w:val="single"/>
        </w:rPr>
        <w:t>技术标</w:t>
      </w:r>
      <w:r>
        <w:rPr>
          <w:rFonts w:hint="eastAsia" w:ascii="宋体" w:hAnsi="宋体" w:eastAsia="宋体" w:cs="宋体"/>
          <w:b/>
          <w:bCs/>
          <w:color w:val="auto"/>
          <w:sz w:val="30"/>
          <w:szCs w:val="30"/>
          <w:highlight w:val="none"/>
          <w:u w:val="single"/>
        </w:rPr>
        <w:tab/>
      </w:r>
      <w:r>
        <w:rPr>
          <w:rFonts w:hint="eastAsia" w:ascii="宋体" w:hAnsi="宋体" w:eastAsia="宋体" w:cs="宋体"/>
          <w:b/>
          <w:bCs/>
          <w:color w:val="auto"/>
          <w:sz w:val="30"/>
          <w:szCs w:val="30"/>
          <w:highlight w:val="none"/>
          <w:u w:val="single"/>
        </w:rPr>
        <w:t xml:space="preserve">     　 </w:t>
      </w:r>
    </w:p>
    <w:p>
      <w:pPr>
        <w:pageBreakBefore w:val="0"/>
        <w:kinsoku/>
        <w:wordWrap/>
        <w:overflowPunct/>
        <w:topLinePunct w:val="0"/>
        <w:bidi w:val="0"/>
        <w:adjustRightInd w:val="0"/>
        <w:snapToGrid w:val="0"/>
        <w:spacing w:before="95" w:beforeLines="20" w:after="95" w:afterLines="20" w:line="240" w:lineRule="auto"/>
        <w:ind w:firstLine="1205" w:firstLineChars="400"/>
        <w:rPr>
          <w:rFonts w:hint="eastAsia" w:ascii="宋体" w:hAnsi="宋体" w:eastAsia="宋体" w:cs="宋体"/>
          <w:b/>
          <w:bCs/>
          <w:color w:val="auto"/>
          <w:sz w:val="30"/>
          <w:szCs w:val="30"/>
          <w:highlight w:val="none"/>
        </w:rPr>
      </w:pPr>
      <w:r>
        <w:rPr>
          <w:rFonts w:hint="eastAsia" w:ascii="宋体" w:hAnsi="宋体" w:cs="宋体"/>
          <w:b/>
          <w:bCs/>
          <w:color w:val="auto"/>
          <w:sz w:val="30"/>
          <w:szCs w:val="30"/>
          <w:highlight w:val="none"/>
          <w:lang w:val="en-US" w:eastAsia="zh-CN"/>
        </w:rPr>
        <w:t>谈判响应人</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u w:val="single"/>
        </w:rPr>
        <w:t xml:space="preserve">          （盖公章）            　 </w:t>
      </w:r>
    </w:p>
    <w:p>
      <w:pPr>
        <w:pStyle w:val="26"/>
        <w:pageBreakBefore w:val="0"/>
        <w:kinsoku/>
        <w:wordWrap/>
        <w:overflowPunct/>
        <w:topLinePunct w:val="0"/>
        <w:bidi w:val="0"/>
        <w:adjustRightInd w:val="0"/>
        <w:snapToGrid w:val="0"/>
        <w:spacing w:before="95" w:beforeLines="20" w:after="95" w:afterLines="20" w:line="240" w:lineRule="auto"/>
        <w:ind w:left="0" w:firstLine="1205" w:firstLineChars="400"/>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rPr>
        <w:t>法定代表人或其委托代理人：</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u w:val="single"/>
          <w:lang w:val="en-US" w:eastAsia="zh-CN"/>
        </w:rPr>
        <w:t xml:space="preserve"> </w:t>
      </w:r>
      <w:r>
        <w:rPr>
          <w:rFonts w:hint="eastAsia" w:ascii="宋体" w:hAnsi="宋体" w:eastAsia="宋体" w:cs="宋体"/>
          <w:b/>
          <w:bCs/>
          <w:color w:val="auto"/>
          <w:sz w:val="30"/>
          <w:szCs w:val="30"/>
          <w:highlight w:val="none"/>
          <w:u w:val="single"/>
        </w:rPr>
        <w:t>（</w:t>
      </w:r>
      <w:r>
        <w:rPr>
          <w:rFonts w:hint="eastAsia" w:ascii="宋体" w:hAnsi="宋体" w:eastAsia="宋体" w:cs="宋体"/>
          <w:b/>
          <w:bCs/>
          <w:color w:val="auto"/>
          <w:sz w:val="30"/>
          <w:szCs w:val="30"/>
          <w:highlight w:val="none"/>
          <w:u w:val="single"/>
          <w:lang w:eastAsia="zh-CN"/>
        </w:rPr>
        <w:t>签字或</w:t>
      </w:r>
      <w:r>
        <w:rPr>
          <w:rFonts w:hint="eastAsia" w:ascii="宋体" w:hAnsi="宋体" w:eastAsia="宋体" w:cs="宋体"/>
          <w:b/>
          <w:bCs/>
          <w:color w:val="auto"/>
          <w:sz w:val="30"/>
          <w:szCs w:val="30"/>
          <w:highlight w:val="none"/>
          <w:u w:val="single"/>
        </w:rPr>
        <w:t>盖章）　</w:t>
      </w:r>
    </w:p>
    <w:p>
      <w:pPr>
        <w:pageBreakBefore w:val="0"/>
        <w:kinsoku/>
        <w:wordWrap/>
        <w:overflowPunct/>
        <w:topLinePunct w:val="0"/>
        <w:bidi w:val="0"/>
        <w:adjustRightInd w:val="0"/>
        <w:snapToGrid w:val="0"/>
        <w:spacing w:before="95" w:beforeLines="20" w:after="95" w:afterLines="20" w:line="240" w:lineRule="auto"/>
        <w:ind w:firstLine="3388" w:firstLineChars="1125"/>
        <w:rPr>
          <w:rFonts w:hint="eastAsia" w:ascii="宋体" w:hAnsi="宋体" w:eastAsia="宋体" w:cs="宋体"/>
          <w:b/>
          <w:bCs/>
          <w:color w:val="auto"/>
          <w:sz w:val="30"/>
          <w:szCs w:val="30"/>
          <w:highlight w:val="none"/>
        </w:rPr>
      </w:pPr>
    </w:p>
    <w:p>
      <w:pPr>
        <w:pageBreakBefore w:val="0"/>
        <w:kinsoku/>
        <w:wordWrap/>
        <w:overflowPunct/>
        <w:topLinePunct w:val="0"/>
        <w:bidi w:val="0"/>
        <w:adjustRightInd w:val="0"/>
        <w:snapToGrid w:val="0"/>
        <w:spacing w:before="95" w:beforeLines="20" w:after="95" w:afterLines="20" w:line="24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日   期  ：</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月</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日</w:t>
      </w:r>
    </w:p>
    <w:p>
      <w:pPr>
        <w:pageBreakBefore w:val="0"/>
        <w:kinsoku/>
        <w:wordWrap/>
        <w:overflowPunct/>
        <w:topLinePunct w:val="0"/>
        <w:bidi w:val="0"/>
        <w:adjustRightInd w:val="0"/>
        <w:snapToGrid w:val="0"/>
        <w:spacing w:before="95" w:beforeLines="20" w:after="95" w:afterLines="20" w:line="240" w:lineRule="auto"/>
        <w:jc w:val="center"/>
        <w:rPr>
          <w:rFonts w:hint="eastAsia" w:ascii="宋体" w:hAnsi="宋体" w:eastAsia="宋体" w:cs="宋体"/>
          <w:b/>
          <w:bCs/>
          <w:color w:val="auto"/>
          <w:sz w:val="30"/>
          <w:szCs w:val="30"/>
          <w:highlight w:val="none"/>
        </w:rPr>
      </w:pPr>
    </w:p>
    <w:p>
      <w:pPr>
        <w:pageBreakBefore w:val="0"/>
        <w:kinsoku/>
        <w:wordWrap/>
        <w:overflowPunct/>
        <w:topLinePunct w:val="0"/>
        <w:bidi w:val="0"/>
        <w:adjustRightInd w:val="0"/>
        <w:snapToGrid w:val="0"/>
        <w:spacing w:before="95" w:beforeLines="20" w:after="95" w:afterLines="20" w:line="240" w:lineRule="auto"/>
        <w:jc w:val="center"/>
        <w:rPr>
          <w:rFonts w:hint="eastAsia" w:ascii="宋体" w:hAnsi="宋体" w:eastAsia="宋体" w:cs="宋体"/>
          <w:b/>
          <w:bCs/>
          <w:color w:val="auto"/>
          <w:sz w:val="30"/>
          <w:szCs w:val="30"/>
          <w:highlight w:val="none"/>
        </w:rPr>
      </w:pPr>
    </w:p>
    <w:p>
      <w:pPr>
        <w:pageBreakBefore w:val="0"/>
        <w:kinsoku/>
        <w:wordWrap/>
        <w:overflowPunct/>
        <w:topLinePunct w:val="0"/>
        <w:bidi w:val="0"/>
        <w:adjustRightInd w:val="0"/>
        <w:snapToGrid w:val="0"/>
        <w:spacing w:before="95" w:beforeLines="20" w:after="95" w:afterLines="20" w:line="240" w:lineRule="auto"/>
        <w:jc w:val="center"/>
        <w:rPr>
          <w:rFonts w:hint="eastAsia" w:ascii="宋体" w:hAnsi="宋体" w:eastAsia="宋体" w:cs="宋体"/>
          <w:b/>
          <w:bCs/>
          <w:color w:val="auto"/>
          <w:sz w:val="30"/>
          <w:szCs w:val="30"/>
          <w:highlight w:val="none"/>
        </w:rPr>
      </w:pPr>
    </w:p>
    <w:p>
      <w:pPr>
        <w:pageBreakBefore w:val="0"/>
        <w:kinsoku/>
        <w:wordWrap/>
        <w:overflowPunct/>
        <w:topLinePunct w:val="0"/>
        <w:bidi w:val="0"/>
        <w:adjustRightInd w:val="0"/>
        <w:snapToGrid w:val="0"/>
        <w:spacing w:before="95" w:beforeLines="20" w:after="95" w:afterLines="20" w:line="240" w:lineRule="auto"/>
        <w:jc w:val="center"/>
        <w:rPr>
          <w:rFonts w:hint="eastAsia" w:ascii="宋体" w:hAnsi="宋体" w:eastAsia="宋体" w:cs="宋体"/>
          <w:b/>
          <w:bCs/>
          <w:color w:val="auto"/>
          <w:sz w:val="30"/>
          <w:szCs w:val="30"/>
          <w:highlight w:val="none"/>
        </w:rPr>
      </w:pPr>
    </w:p>
    <w:p>
      <w:pPr>
        <w:pageBreakBefore w:val="0"/>
        <w:kinsoku/>
        <w:wordWrap/>
        <w:overflowPunct/>
        <w:topLinePunct w:val="0"/>
        <w:bidi w:val="0"/>
        <w:adjustRightInd w:val="0"/>
        <w:snapToGrid w:val="0"/>
        <w:spacing w:before="95" w:beforeLines="20" w:after="95" w:afterLines="20" w:line="240" w:lineRule="auto"/>
        <w:jc w:val="center"/>
        <w:rPr>
          <w:rFonts w:hint="eastAsia" w:ascii="宋体" w:hAnsi="宋体" w:eastAsia="宋体" w:cs="宋体"/>
          <w:b/>
          <w:bCs/>
          <w:color w:val="auto"/>
          <w:sz w:val="30"/>
          <w:szCs w:val="30"/>
          <w:highlight w:val="none"/>
        </w:rPr>
      </w:pPr>
    </w:p>
    <w:p>
      <w:pPr>
        <w:pageBreakBefore w:val="0"/>
        <w:kinsoku/>
        <w:wordWrap/>
        <w:overflowPunct/>
        <w:topLinePunct w:val="0"/>
        <w:bidi w:val="0"/>
        <w:adjustRightInd w:val="0"/>
        <w:snapToGrid w:val="0"/>
        <w:spacing w:before="95" w:beforeLines="20" w:after="95" w:afterLines="20" w:line="240" w:lineRule="auto"/>
        <w:jc w:val="center"/>
        <w:rPr>
          <w:rFonts w:hint="eastAsia" w:ascii="宋体" w:hAnsi="宋体" w:eastAsia="宋体" w:cs="宋体"/>
          <w:b/>
          <w:bCs/>
          <w:color w:val="auto"/>
          <w:sz w:val="30"/>
          <w:szCs w:val="30"/>
          <w:highlight w:val="none"/>
        </w:rPr>
      </w:pPr>
    </w:p>
    <w:p>
      <w:pPr>
        <w:pageBreakBefore w:val="0"/>
        <w:kinsoku/>
        <w:wordWrap/>
        <w:overflowPunct/>
        <w:topLinePunct w:val="0"/>
        <w:bidi w:val="0"/>
        <w:adjustRightInd w:val="0"/>
        <w:snapToGrid w:val="0"/>
        <w:spacing w:before="95" w:beforeLines="20" w:after="95" w:afterLines="20" w:line="240" w:lineRule="auto"/>
        <w:jc w:val="center"/>
        <w:rPr>
          <w:rFonts w:hint="eastAsia" w:ascii="宋体" w:hAnsi="宋体" w:eastAsia="宋体" w:cs="宋体"/>
          <w:b/>
          <w:bCs/>
          <w:color w:val="auto"/>
          <w:sz w:val="30"/>
          <w:szCs w:val="30"/>
          <w:highlight w:val="none"/>
        </w:rPr>
      </w:pPr>
    </w:p>
    <w:p>
      <w:pPr>
        <w:pStyle w:val="77"/>
        <w:keepNext w:val="0"/>
        <w:keepLines w:val="0"/>
        <w:pageBreakBefore w:val="0"/>
        <w:widowControl/>
        <w:tabs>
          <w:tab w:val="right" w:leader="dot" w:pos="8901"/>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0"/>
          <w:szCs w:val="20"/>
          <w:highlight w:val="none"/>
        </w:rPr>
      </w:pPr>
      <w:bookmarkStart w:id="302" w:name="_Toc13541_WPSOffice_Type1"/>
    </w:p>
    <w:bookmarkEnd w:id="302"/>
    <w:p>
      <w:pPr>
        <w:pStyle w:val="77"/>
        <w:keepNext w:val="0"/>
        <w:keepLines w:val="0"/>
        <w:pageBreakBefore w:val="0"/>
        <w:widowControl/>
        <w:tabs>
          <w:tab w:val="right" w:leader="dot" w:pos="8901"/>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_Toc14626_WPSOffice_Level1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（一）法定代表人身份证明书</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lang w:eastAsia="zh-CN"/>
        </w:rPr>
        <w:t>、法定代表人授权委托书</w:t>
      </w:r>
    </w:p>
    <w:p>
      <w:pPr>
        <w:pStyle w:val="77"/>
        <w:keepNext w:val="0"/>
        <w:keepLines w:val="0"/>
        <w:pageBreakBefore w:val="0"/>
        <w:widowControl/>
        <w:tabs>
          <w:tab w:val="right" w:leader="dot" w:pos="8901"/>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_Toc26967_WPSOffice_Level1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（二）诚信</w:t>
      </w:r>
      <w:r>
        <w:rPr>
          <w:rFonts w:hint="eastAsia" w:ascii="宋体" w:hAnsi="宋体" w:cs="宋体"/>
          <w:b w:val="0"/>
          <w:bCs w:val="0"/>
          <w:color w:val="auto"/>
          <w:sz w:val="28"/>
          <w:szCs w:val="28"/>
          <w:highlight w:val="none"/>
          <w:lang w:val="en-US" w:eastAsia="zh-CN"/>
        </w:rPr>
        <w:t>谈判</w:t>
      </w:r>
      <w:r>
        <w:rPr>
          <w:rFonts w:hint="eastAsia" w:ascii="宋体" w:hAnsi="宋体" w:eastAsia="宋体" w:cs="宋体"/>
          <w:b w:val="0"/>
          <w:bCs w:val="0"/>
          <w:color w:val="auto"/>
          <w:sz w:val="28"/>
          <w:szCs w:val="28"/>
          <w:highlight w:val="none"/>
        </w:rPr>
        <w:t>承诺书</w:t>
      </w:r>
      <w:r>
        <w:rPr>
          <w:rFonts w:hint="eastAsia" w:ascii="宋体" w:hAnsi="宋体" w:eastAsia="宋体" w:cs="宋体"/>
          <w:b w:val="0"/>
          <w:bCs w:val="0"/>
          <w:color w:val="auto"/>
          <w:sz w:val="28"/>
          <w:szCs w:val="28"/>
          <w:highlight w:val="none"/>
        </w:rPr>
        <w:fldChar w:fldCharType="end"/>
      </w:r>
    </w:p>
    <w:p>
      <w:pPr>
        <w:pStyle w:val="77"/>
        <w:keepNext w:val="0"/>
        <w:keepLines w:val="0"/>
        <w:pageBreakBefore w:val="0"/>
        <w:widowControl/>
        <w:tabs>
          <w:tab w:val="right" w:leader="dot" w:pos="8901"/>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_Toc28652_WPSOffice_Level1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val="en-US" w:eastAsia="zh-CN"/>
        </w:rPr>
        <w:t>三</w:t>
      </w:r>
      <w:r>
        <w:rPr>
          <w:rFonts w:hint="eastAsia" w:ascii="宋体" w:hAnsi="宋体" w:eastAsia="宋体" w:cs="宋体"/>
          <w:b w:val="0"/>
          <w:bCs w:val="0"/>
          <w:color w:val="auto"/>
          <w:sz w:val="28"/>
          <w:szCs w:val="28"/>
          <w:highlight w:val="none"/>
        </w:rPr>
        <w:t>）中小微企业等声明函</w:t>
      </w:r>
      <w:r>
        <w:rPr>
          <w:rFonts w:hint="eastAsia" w:ascii="宋体" w:hAnsi="宋体" w:eastAsia="宋体" w:cs="宋体"/>
          <w:b w:val="0"/>
          <w:bCs w:val="0"/>
          <w:color w:val="auto"/>
          <w:sz w:val="28"/>
          <w:szCs w:val="28"/>
          <w:highlight w:val="none"/>
        </w:rPr>
        <w:fldChar w:fldCharType="end"/>
      </w:r>
    </w:p>
    <w:p>
      <w:pPr>
        <w:pStyle w:val="77"/>
        <w:keepNext w:val="0"/>
        <w:keepLines w:val="0"/>
        <w:pageBreakBefore w:val="0"/>
        <w:widowControl/>
        <w:tabs>
          <w:tab w:val="right" w:leader="dot" w:pos="8901"/>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_Toc17903_WPSOffice_Level1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highlight w:val="none"/>
        </w:rPr>
        <w:t>）企业法人营业执照、企业资质证书、</w:t>
      </w:r>
      <w:r>
        <w:rPr>
          <w:rFonts w:hint="eastAsia" w:ascii="宋体" w:hAnsi="宋体" w:eastAsia="宋体" w:cs="宋体"/>
          <w:b w:val="0"/>
          <w:bCs w:val="0"/>
          <w:color w:val="auto"/>
          <w:sz w:val="28"/>
          <w:szCs w:val="28"/>
          <w:highlight w:val="none"/>
          <w:lang w:eastAsia="zh-CN"/>
        </w:rPr>
        <w:t>安全生产许可证</w:t>
      </w:r>
      <w:r>
        <w:rPr>
          <w:rFonts w:hint="eastAsia" w:ascii="宋体" w:hAnsi="宋体" w:eastAsia="宋体" w:cs="宋体"/>
          <w:b w:val="0"/>
          <w:bCs w:val="0"/>
          <w:color w:val="auto"/>
          <w:sz w:val="28"/>
          <w:szCs w:val="28"/>
          <w:highlight w:val="none"/>
        </w:rPr>
        <w:fldChar w:fldCharType="end"/>
      </w:r>
    </w:p>
    <w:p>
      <w:pPr>
        <w:pStyle w:val="77"/>
        <w:keepNext w:val="0"/>
        <w:keepLines w:val="0"/>
        <w:pageBreakBefore w:val="0"/>
        <w:widowControl/>
        <w:tabs>
          <w:tab w:val="right" w:leader="dot" w:pos="8901"/>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_Toc16391_WPSOffice_Level1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highlight w:val="none"/>
        </w:rPr>
        <w:t>）拟派项目经理的注册建造师证书、安全生产考核</w:t>
      </w:r>
      <w:r>
        <w:rPr>
          <w:rFonts w:hint="eastAsia" w:ascii="宋体" w:hAnsi="宋体" w:eastAsia="宋体" w:cs="宋体"/>
          <w:b w:val="0"/>
          <w:bCs w:val="0"/>
          <w:color w:val="auto"/>
          <w:sz w:val="28"/>
          <w:szCs w:val="28"/>
          <w:highlight w:val="none"/>
          <w:lang w:eastAsia="zh-CN"/>
        </w:rPr>
        <w:t>合格证</w:t>
      </w:r>
      <w:r>
        <w:rPr>
          <w:rFonts w:hint="eastAsia" w:ascii="宋体" w:hAnsi="宋体" w:eastAsia="宋体" w:cs="宋体"/>
          <w:b w:val="0"/>
          <w:bCs w:val="0"/>
          <w:color w:val="auto"/>
          <w:sz w:val="28"/>
          <w:szCs w:val="28"/>
          <w:highlight w:val="none"/>
        </w:rPr>
        <w:fldChar w:fldCharType="end"/>
      </w:r>
    </w:p>
    <w:p>
      <w:pPr>
        <w:pStyle w:val="77"/>
        <w:keepNext w:val="0"/>
        <w:keepLines w:val="0"/>
        <w:pageBreakBefore w:val="0"/>
        <w:widowControl/>
        <w:tabs>
          <w:tab w:val="right" w:leader="dot" w:pos="8901"/>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_Toc3021_WPSOffice_Level1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val="en-US" w:eastAsia="zh-CN"/>
        </w:rPr>
        <w:t>六</w:t>
      </w:r>
      <w:r>
        <w:rPr>
          <w:rFonts w:hint="eastAsia" w:ascii="宋体" w:hAnsi="宋体" w:eastAsia="宋体" w:cs="宋体"/>
          <w:b w:val="0"/>
          <w:bCs w:val="0"/>
          <w:color w:val="auto"/>
          <w:sz w:val="28"/>
          <w:szCs w:val="28"/>
          <w:highlight w:val="none"/>
        </w:rPr>
        <w:t>）企业（拟派项目经理）类似工程业绩等资格审查的其他材料（如有要求）</w:t>
      </w:r>
      <w:r>
        <w:rPr>
          <w:rFonts w:hint="eastAsia" w:ascii="宋体" w:hAnsi="宋体" w:eastAsia="宋体" w:cs="宋体"/>
          <w:b w:val="0"/>
          <w:bCs w:val="0"/>
          <w:color w:val="auto"/>
          <w:sz w:val="28"/>
          <w:szCs w:val="28"/>
          <w:highlight w:val="none"/>
        </w:rPr>
        <w:fldChar w:fldCharType="end"/>
      </w:r>
    </w:p>
    <w:p>
      <w:pPr>
        <w:pStyle w:val="77"/>
        <w:keepNext w:val="0"/>
        <w:keepLines w:val="0"/>
        <w:pageBreakBefore w:val="0"/>
        <w:widowControl/>
        <w:tabs>
          <w:tab w:val="right" w:leader="dot" w:pos="8901"/>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_Toc20143_WPSOffice_Level1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val="en-US" w:eastAsia="zh-CN"/>
        </w:rPr>
        <w:t>七</w:t>
      </w:r>
      <w:r>
        <w:rPr>
          <w:rFonts w:hint="eastAsia" w:ascii="宋体" w:hAnsi="宋体" w:eastAsia="宋体" w:cs="宋体"/>
          <w:b w:val="0"/>
          <w:bCs w:val="0"/>
          <w:color w:val="auto"/>
          <w:sz w:val="28"/>
          <w:szCs w:val="28"/>
          <w:highlight w:val="none"/>
        </w:rPr>
        <w:t>）项目管理机构配备情况</w:t>
      </w:r>
      <w:r>
        <w:rPr>
          <w:rFonts w:hint="eastAsia" w:ascii="宋体" w:hAnsi="宋体" w:eastAsia="宋体" w:cs="宋体"/>
          <w:b w:val="0"/>
          <w:bCs w:val="0"/>
          <w:color w:val="auto"/>
          <w:sz w:val="28"/>
          <w:szCs w:val="28"/>
          <w:highlight w:val="none"/>
        </w:rPr>
        <w:fldChar w:fldCharType="end"/>
      </w:r>
    </w:p>
    <w:p>
      <w:pPr>
        <w:pStyle w:val="77"/>
        <w:keepNext w:val="0"/>
        <w:keepLines w:val="0"/>
        <w:pageBreakBefore w:val="0"/>
        <w:widowControl/>
        <w:tabs>
          <w:tab w:val="right" w:leader="dot" w:pos="8901"/>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_Toc14058_WPSOffice_Level1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rPr>
        <w:t>）拟派项目经理简历</w:t>
      </w:r>
      <w:r>
        <w:rPr>
          <w:rFonts w:hint="eastAsia" w:ascii="宋体" w:hAnsi="宋体" w:eastAsia="宋体" w:cs="宋体"/>
          <w:b w:val="0"/>
          <w:bCs w:val="0"/>
          <w:color w:val="auto"/>
          <w:sz w:val="28"/>
          <w:szCs w:val="28"/>
          <w:highlight w:val="none"/>
        </w:rPr>
        <w:fldChar w:fldCharType="end"/>
      </w:r>
    </w:p>
    <w:p>
      <w:pPr>
        <w:pStyle w:val="77"/>
        <w:keepNext w:val="0"/>
        <w:keepLines w:val="0"/>
        <w:pageBreakBefore w:val="0"/>
        <w:widowControl/>
        <w:tabs>
          <w:tab w:val="right" w:leader="dot" w:pos="8901"/>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val="en-US" w:eastAsia="zh-CN"/>
        </w:rPr>
        <w:t>九</w:t>
      </w:r>
      <w:r>
        <w:rPr>
          <w:rFonts w:hint="eastAsia" w:ascii="宋体" w:hAnsi="宋体" w:eastAsia="宋体" w:cs="宋体"/>
          <w:b w:val="0"/>
          <w:bCs w:val="0"/>
          <w:color w:val="auto"/>
          <w:sz w:val="28"/>
          <w:szCs w:val="28"/>
          <w:highlight w:val="none"/>
        </w:rPr>
        <w:t>）项目经理承诺</w:t>
      </w:r>
    </w:p>
    <w:p>
      <w:pPr>
        <w:pStyle w:val="77"/>
        <w:keepNext w:val="0"/>
        <w:keepLines w:val="0"/>
        <w:pageBreakBefore w:val="0"/>
        <w:widowControl/>
        <w:tabs>
          <w:tab w:val="right" w:leader="dot" w:pos="8901"/>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_Toc11524_WPSOffice_Level1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val="en-US" w:eastAsia="zh-CN"/>
        </w:rPr>
        <w:t>十</w:t>
      </w:r>
      <w:r>
        <w:rPr>
          <w:rFonts w:hint="eastAsia" w:ascii="宋体" w:hAnsi="宋体" w:eastAsia="宋体" w:cs="宋体"/>
          <w:b w:val="0"/>
          <w:bCs w:val="0"/>
          <w:color w:val="auto"/>
          <w:sz w:val="28"/>
          <w:szCs w:val="28"/>
          <w:highlight w:val="none"/>
        </w:rPr>
        <w:t>）拟分包情况表</w:t>
      </w:r>
      <w:r>
        <w:rPr>
          <w:rFonts w:hint="eastAsia" w:ascii="宋体" w:hAnsi="宋体" w:eastAsia="宋体" w:cs="宋体"/>
          <w:b w:val="0"/>
          <w:bCs w:val="0"/>
          <w:color w:val="auto"/>
          <w:sz w:val="28"/>
          <w:szCs w:val="28"/>
          <w:highlight w:val="none"/>
        </w:rPr>
        <w:fldChar w:fldCharType="end"/>
      </w:r>
    </w:p>
    <w:p>
      <w:pPr>
        <w:spacing w:line="600" w:lineRule="exact"/>
        <w:rPr>
          <w:rFonts w:hint="eastAsia" w:ascii="宋体" w:hAnsi="宋体" w:eastAsia="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w:t>
      </w:r>
      <w:r>
        <w:rPr>
          <w:rFonts w:hint="eastAsia" w:ascii="宋体" w:hAnsi="宋体" w:cs="宋体"/>
          <w:b w:val="0"/>
          <w:bCs w:val="0"/>
          <w:color w:val="auto"/>
          <w:sz w:val="28"/>
          <w:szCs w:val="28"/>
          <w:highlight w:val="none"/>
          <w:lang w:val="en-US" w:eastAsia="zh-CN"/>
        </w:rPr>
        <w:t>十一</w:t>
      </w:r>
      <w:r>
        <w:rPr>
          <w:rFonts w:hint="eastAsia" w:ascii="宋体" w:hAnsi="宋体" w:eastAsia="宋体" w:cs="宋体"/>
          <w:b w:val="0"/>
          <w:bCs w:val="0"/>
          <w:color w:val="auto"/>
          <w:kern w:val="0"/>
          <w:sz w:val="28"/>
          <w:szCs w:val="28"/>
          <w:highlight w:val="none"/>
          <w:lang w:eastAsia="zh-CN"/>
        </w:rPr>
        <w:t>）</w:t>
      </w:r>
      <w:r>
        <w:rPr>
          <w:rFonts w:hint="eastAsia" w:ascii="宋体" w:hAnsi="宋体" w:cs="宋体"/>
          <w:b w:val="0"/>
          <w:bCs w:val="0"/>
          <w:color w:val="auto"/>
          <w:kern w:val="0"/>
          <w:sz w:val="28"/>
          <w:szCs w:val="28"/>
          <w:highlight w:val="none"/>
          <w:lang w:val="en-US" w:eastAsia="zh-CN"/>
        </w:rPr>
        <w:t>谈判</w:t>
      </w:r>
      <w:r>
        <w:rPr>
          <w:rFonts w:hint="eastAsia" w:ascii="宋体" w:hAnsi="宋体" w:eastAsia="宋体" w:cs="宋体"/>
          <w:b w:val="0"/>
          <w:bCs w:val="0"/>
          <w:color w:val="auto"/>
          <w:kern w:val="0"/>
          <w:sz w:val="28"/>
          <w:szCs w:val="28"/>
          <w:highlight w:val="none"/>
          <w:lang w:val="en-US" w:eastAsia="zh-CN"/>
        </w:rPr>
        <w:t>报价编制人信息表</w:t>
      </w:r>
    </w:p>
    <w:p>
      <w:pPr>
        <w:pStyle w:val="77"/>
        <w:keepNext w:val="0"/>
        <w:keepLines w:val="0"/>
        <w:pageBreakBefore w:val="0"/>
        <w:widowControl/>
        <w:tabs>
          <w:tab w:val="right" w:leader="dot" w:pos="8901"/>
        </w:tabs>
        <w:kinsoku/>
        <w:wordWrap/>
        <w:overflowPunct/>
        <w:topLinePunct w:val="0"/>
        <w:autoSpaceDE/>
        <w:autoSpaceDN/>
        <w:bidi w:val="0"/>
        <w:adjustRightInd/>
        <w:snapToGrid/>
        <w:spacing w:line="240" w:lineRule="auto"/>
        <w:textAlignment w:val="auto"/>
        <w:outlineLvl w:val="9"/>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_Toc11524_WPSOffice_Level1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（十</w:t>
      </w:r>
      <w:r>
        <w:rPr>
          <w:rFonts w:hint="eastAsia" w:ascii="宋体" w:hAnsi="宋体" w:cs="宋体"/>
          <w:b w:val="0"/>
          <w:bCs w:val="0"/>
          <w:color w:val="auto"/>
          <w:sz w:val="28"/>
          <w:szCs w:val="28"/>
          <w:highlight w:val="none"/>
          <w:lang w:val="en-US" w:eastAsia="zh-CN"/>
        </w:rPr>
        <w:t>二</w:t>
      </w: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val="en-US" w:eastAsia="zh-CN"/>
        </w:rPr>
        <w:t>供应商声明函</w:t>
      </w:r>
    </w:p>
    <w:p>
      <w:pPr>
        <w:pStyle w:val="77"/>
        <w:keepNext w:val="0"/>
        <w:keepLines w:val="0"/>
        <w:pageBreakBefore w:val="0"/>
        <w:widowControl/>
        <w:tabs>
          <w:tab w:val="right" w:leader="dot" w:pos="8901"/>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8"/>
          <w:szCs w:val="28"/>
          <w:highlight w:val="none"/>
        </w:rPr>
      </w:pPr>
      <w:r>
        <w:rPr>
          <w:rStyle w:val="78"/>
          <w:rFonts w:hint="eastAsia" w:ascii="宋体" w:hAnsi="宋体" w:cs="宋体"/>
          <w:b w:val="0"/>
          <w:bCs w:val="0"/>
          <w:color w:val="auto"/>
          <w:sz w:val="28"/>
          <w:szCs w:val="28"/>
          <w:highlight w:val="none"/>
          <w:lang w:eastAsia="zh-CN"/>
        </w:rPr>
        <w:t>（</w:t>
      </w:r>
      <w:r>
        <w:rPr>
          <w:rStyle w:val="78"/>
          <w:rFonts w:hint="eastAsia" w:ascii="宋体" w:hAnsi="宋体" w:cs="宋体"/>
          <w:b w:val="0"/>
          <w:bCs w:val="0"/>
          <w:color w:val="auto"/>
          <w:sz w:val="28"/>
          <w:szCs w:val="28"/>
          <w:highlight w:val="none"/>
          <w:lang w:val="en-US" w:eastAsia="zh-CN"/>
        </w:rPr>
        <w:t>十三</w:t>
      </w:r>
      <w:r>
        <w:rPr>
          <w:rStyle w:val="78"/>
          <w:rFonts w:hint="eastAsia" w:ascii="宋体" w:hAnsi="宋体" w:cs="宋体"/>
          <w:b w:val="0"/>
          <w:bCs w:val="0"/>
          <w:color w:val="auto"/>
          <w:sz w:val="28"/>
          <w:szCs w:val="28"/>
          <w:highlight w:val="none"/>
          <w:lang w:eastAsia="zh-CN"/>
        </w:rPr>
        <w:t>）谈判响应人</w:t>
      </w:r>
      <w:r>
        <w:rPr>
          <w:rStyle w:val="78"/>
          <w:rFonts w:hint="eastAsia" w:ascii="宋体" w:hAnsi="宋体" w:eastAsia="宋体" w:cs="宋体"/>
          <w:b w:val="0"/>
          <w:bCs w:val="0"/>
          <w:color w:val="auto"/>
          <w:sz w:val="28"/>
          <w:szCs w:val="28"/>
          <w:highlight w:val="none"/>
        </w:rPr>
        <w:t>认为需要提供的其他资料</w:t>
      </w:r>
      <w:r>
        <w:rPr>
          <w:rFonts w:hint="eastAsia" w:ascii="宋体" w:hAnsi="宋体" w:eastAsia="宋体" w:cs="宋体"/>
          <w:b w:val="0"/>
          <w:bCs w:val="0"/>
          <w:color w:val="auto"/>
          <w:sz w:val="28"/>
          <w:szCs w:val="28"/>
          <w:highlight w:val="none"/>
        </w:rPr>
        <w:fldChar w:fldCharType="end"/>
      </w:r>
    </w:p>
    <w:p>
      <w:pPr>
        <w:pStyle w:val="77"/>
        <w:keepNext w:val="0"/>
        <w:keepLines w:val="0"/>
        <w:pageBreakBefore w:val="0"/>
        <w:widowControl/>
        <w:tabs>
          <w:tab w:val="right" w:leader="dot" w:pos="8901"/>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_Toc14852_WPSOffice_Level1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（十</w:t>
      </w:r>
      <w:r>
        <w:rPr>
          <w:rFonts w:hint="eastAsia" w:ascii="宋体" w:hAnsi="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highlight w:val="none"/>
        </w:rPr>
        <w:t>）施工组织设计</w:t>
      </w:r>
      <w:r>
        <w:rPr>
          <w:rFonts w:hint="eastAsia" w:ascii="宋体" w:hAnsi="宋体" w:eastAsia="宋体" w:cs="宋体"/>
          <w:b w:val="0"/>
          <w:bCs w:val="0"/>
          <w:color w:val="auto"/>
          <w:sz w:val="28"/>
          <w:szCs w:val="28"/>
          <w:highlight w:val="none"/>
        </w:rPr>
        <w:fldChar w:fldCharType="end"/>
      </w:r>
    </w:p>
    <w:p>
      <w:pPr>
        <w:pStyle w:val="77"/>
        <w:keepNext w:val="0"/>
        <w:keepLines w:val="0"/>
        <w:pageBreakBefore w:val="0"/>
        <w:widowControl/>
        <w:tabs>
          <w:tab w:val="right" w:leader="dot" w:pos="8901"/>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8"/>
          <w:szCs w:val="28"/>
          <w:highlight w:val="none"/>
        </w:rPr>
      </w:pPr>
    </w:p>
    <w:p>
      <w:pPr>
        <w:pStyle w:val="77"/>
        <w:pageBreakBefore w:val="0"/>
        <w:tabs>
          <w:tab w:val="right" w:leader="dot" w:pos="8901"/>
        </w:tabs>
        <w:kinsoku/>
        <w:wordWrap/>
        <w:overflowPunct/>
        <w:topLinePunct w:val="0"/>
        <w:bidi w:val="0"/>
        <w:spacing w:line="240" w:lineRule="auto"/>
        <w:rPr>
          <w:color w:val="auto"/>
          <w:highlight w:val="none"/>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b/>
          <w:bCs/>
          <w:color w:val="auto"/>
          <w:sz w:val="32"/>
          <w:szCs w:val="32"/>
          <w:highlight w:val="none"/>
          <w:lang w:eastAsia="zh-CN"/>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b/>
          <w:bCs/>
          <w:color w:val="auto"/>
          <w:sz w:val="32"/>
          <w:szCs w:val="32"/>
          <w:highlight w:val="none"/>
          <w:lang w:eastAsia="zh-CN"/>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b/>
          <w:bCs/>
          <w:color w:val="auto"/>
          <w:sz w:val="32"/>
          <w:szCs w:val="32"/>
          <w:highlight w:val="none"/>
          <w:lang w:eastAsia="zh-CN"/>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b/>
          <w:bCs/>
          <w:color w:val="auto"/>
          <w:sz w:val="32"/>
          <w:szCs w:val="32"/>
          <w:highlight w:val="none"/>
          <w:lang w:eastAsia="zh-CN"/>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b/>
          <w:bCs/>
          <w:color w:val="auto"/>
          <w:sz w:val="32"/>
          <w:szCs w:val="32"/>
          <w:highlight w:val="none"/>
          <w:lang w:eastAsia="zh-CN"/>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b/>
          <w:bCs/>
          <w:color w:val="auto"/>
          <w:sz w:val="32"/>
          <w:szCs w:val="32"/>
          <w:highlight w:val="none"/>
          <w:lang w:eastAsia="zh-CN"/>
        </w:rPr>
      </w:pPr>
    </w:p>
    <w:p>
      <w:pPr>
        <w:pageBreakBefore w:val="0"/>
        <w:kinsoku/>
        <w:wordWrap/>
        <w:overflowPunct/>
        <w:topLinePunct w:val="0"/>
        <w:bidi w:val="0"/>
        <w:spacing w:line="240" w:lineRule="auto"/>
        <w:rPr>
          <w:rFonts w:hint="eastAsia"/>
          <w:color w:val="auto"/>
          <w:highlight w:val="none"/>
          <w:lang w:val="en-US" w:eastAsia="zh-CN"/>
        </w:rPr>
      </w:pPr>
      <w:bookmarkStart w:id="303" w:name="_Toc171581368"/>
      <w:bookmarkStart w:id="304" w:name="_Toc171741991"/>
      <w:bookmarkStart w:id="305" w:name="_Toc171581548"/>
    </w:p>
    <w:p>
      <w:pPr>
        <w:pStyle w:val="4"/>
        <w:pageBreakBefore w:val="0"/>
        <w:kinsoku/>
        <w:wordWrap/>
        <w:overflowPunct/>
        <w:topLinePunct w:val="0"/>
        <w:bidi w:val="0"/>
        <w:spacing w:line="240" w:lineRule="auto"/>
        <w:rPr>
          <w:rFonts w:hint="eastAsia"/>
          <w:color w:val="auto"/>
          <w:highlight w:val="none"/>
        </w:rPr>
      </w:pPr>
      <w:bookmarkStart w:id="306" w:name="_Toc12422"/>
      <w:bookmarkStart w:id="307" w:name="_Toc26043"/>
      <w:bookmarkStart w:id="308" w:name="_Toc14626_WPSOffice_Level1"/>
      <w:bookmarkStart w:id="309" w:name="_Toc22008"/>
      <w:r>
        <w:rPr>
          <w:rFonts w:hint="eastAsia"/>
          <w:color w:val="auto"/>
          <w:highlight w:val="none"/>
          <w:lang w:val="en-US" w:eastAsia="zh-CN"/>
        </w:rPr>
        <w:t>（一）</w:t>
      </w:r>
      <w:r>
        <w:rPr>
          <w:rFonts w:hint="eastAsia"/>
          <w:color w:val="auto"/>
          <w:highlight w:val="none"/>
        </w:rPr>
        <w:t>法定代表人身份证明书</w:t>
      </w:r>
      <w:bookmarkEnd w:id="306"/>
      <w:bookmarkEnd w:id="307"/>
      <w:bookmarkEnd w:id="308"/>
      <w:bookmarkEnd w:id="309"/>
    </w:p>
    <w:p>
      <w:pPr>
        <w:pageBreakBefore w:val="0"/>
        <w:kinsoku/>
        <w:wordWrap/>
        <w:overflowPunct/>
        <w:topLinePunct w:val="0"/>
        <w:bidi w:val="0"/>
        <w:spacing w:before="54" w:beforeLines="20" w:after="54" w:afterLines="20" w:line="240" w:lineRule="auto"/>
        <w:jc w:val="center"/>
        <w:rPr>
          <w:rFonts w:hint="eastAsia" w:ascii="宋体" w:hAnsi="宋体" w:eastAsia="宋体" w:cs="宋体"/>
          <w:b/>
          <w:color w:val="auto"/>
          <w:sz w:val="36"/>
          <w:highlight w:val="none"/>
        </w:rPr>
      </w:pPr>
    </w:p>
    <w:p>
      <w:pPr>
        <w:pageBreakBefore w:val="0"/>
        <w:kinsoku/>
        <w:wordWrap/>
        <w:overflowPunct/>
        <w:topLinePunct w:val="0"/>
        <w:bidi w:val="0"/>
        <w:spacing w:before="54" w:beforeLines="20" w:after="54" w:afterLines="20" w:line="240" w:lineRule="auto"/>
        <w:rPr>
          <w:rFonts w:hint="eastAsia" w:ascii="宋体" w:hAnsi="宋体" w:eastAsia="宋体" w:cs="宋体"/>
          <w:b/>
          <w:color w:val="auto"/>
          <w:highlight w:val="none"/>
        </w:rPr>
      </w:pPr>
    </w:p>
    <w:p>
      <w:pPr>
        <w:pageBreakBefore w:val="0"/>
        <w:kinsoku/>
        <w:wordWrap/>
        <w:overflowPunct/>
        <w:topLinePunct w:val="0"/>
        <w:bidi w:val="0"/>
        <w:spacing w:before="54" w:beforeLines="20" w:after="54" w:afterLines="20" w:line="24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wordWrap/>
        <w:overflowPunct/>
        <w:topLinePunct w:val="0"/>
        <w:bidi w:val="0"/>
        <w:spacing w:before="54" w:beforeLines="20" w:after="54" w:afterLines="20" w:line="24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pPr>
        <w:pageBreakBefore w:val="0"/>
        <w:kinsoku/>
        <w:wordWrap/>
        <w:overflowPunct/>
        <w:topLinePunct w:val="0"/>
        <w:bidi w:val="0"/>
        <w:spacing w:before="54" w:beforeLines="20" w:after="54" w:afterLines="20" w:line="24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p>
    <w:p>
      <w:pPr>
        <w:pageBreakBefore w:val="0"/>
        <w:kinsoku/>
        <w:wordWrap/>
        <w:overflowPunct/>
        <w:topLinePunct w:val="0"/>
        <w:bidi w:val="0"/>
        <w:spacing w:before="54" w:beforeLines="20" w:after="54" w:afterLines="20" w:line="24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ageBreakBefore w:val="0"/>
        <w:kinsoku/>
        <w:wordWrap/>
        <w:overflowPunct/>
        <w:topLinePunct w:val="0"/>
        <w:bidi w:val="0"/>
        <w:spacing w:before="54" w:beforeLines="20" w:after="54" w:afterLines="20" w:line="24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ab/>
      </w:r>
    </w:p>
    <w:p>
      <w:pPr>
        <w:pageBreakBefore w:val="0"/>
        <w:kinsoku/>
        <w:wordWrap/>
        <w:overflowPunct/>
        <w:topLinePunct w:val="0"/>
        <w:bidi w:val="0"/>
        <w:spacing w:before="54" w:beforeLines="20" w:after="54" w:afterLines="20" w:line="24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p>
    <w:p>
      <w:pPr>
        <w:pageBreakBefore w:val="0"/>
        <w:kinsoku/>
        <w:wordWrap/>
        <w:overflowPunct/>
        <w:topLinePunct w:val="0"/>
        <w:bidi w:val="0"/>
        <w:spacing w:before="54" w:beforeLines="20" w:after="54" w:afterLines="20" w:line="24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rPr>
        <w:tab/>
      </w:r>
      <w:r>
        <w:rPr>
          <w:rFonts w:hint="eastAsia" w:ascii="宋体" w:hAnsi="宋体" w:eastAsia="宋体" w:cs="宋体"/>
          <w:color w:val="auto"/>
          <w:sz w:val="24"/>
          <w:highlight w:val="none"/>
          <w:u w:val="single"/>
        </w:rPr>
        <w:t xml:space="preserve">                   </w:t>
      </w:r>
    </w:p>
    <w:p>
      <w:pPr>
        <w:pageBreakBefore w:val="0"/>
        <w:kinsoku/>
        <w:wordWrap/>
        <w:overflowPunct/>
        <w:topLinePunct w:val="0"/>
        <w:bidi w:val="0"/>
        <w:spacing w:before="54" w:beforeLines="20" w:after="54" w:afterLines="20" w:line="24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系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谈判响应人</w:t>
      </w:r>
      <w:r>
        <w:rPr>
          <w:rFonts w:hint="eastAsia" w:ascii="宋体" w:hAnsi="宋体" w:eastAsia="宋体" w:cs="宋体"/>
          <w:color w:val="auto"/>
          <w:sz w:val="24"/>
          <w:highlight w:val="none"/>
          <w:u w:val="single"/>
        </w:rPr>
        <w:t xml:space="preserve">单位名称）        </w:t>
      </w:r>
      <w:r>
        <w:rPr>
          <w:rFonts w:hint="eastAsia" w:ascii="宋体" w:hAnsi="宋体" w:eastAsia="宋体" w:cs="宋体"/>
          <w:color w:val="auto"/>
          <w:sz w:val="24"/>
          <w:highlight w:val="none"/>
        </w:rPr>
        <w:t xml:space="preserve"> 的法定代表人。</w:t>
      </w:r>
    </w:p>
    <w:p>
      <w:pPr>
        <w:pageBreakBefore w:val="0"/>
        <w:kinsoku/>
        <w:wordWrap/>
        <w:overflowPunct/>
        <w:topLinePunct w:val="0"/>
        <w:bidi w:val="0"/>
        <w:spacing w:before="54" w:beforeLines="20" w:after="54" w:afterLines="20" w:line="240" w:lineRule="auto"/>
        <w:ind w:firstLine="610"/>
        <w:rPr>
          <w:rFonts w:hint="eastAsia" w:ascii="宋体" w:hAnsi="宋体" w:eastAsia="宋体" w:cs="宋体"/>
          <w:color w:val="auto"/>
          <w:highlight w:val="none"/>
        </w:rPr>
      </w:pPr>
    </w:p>
    <w:p>
      <w:pPr>
        <w:pStyle w:val="11"/>
        <w:pageBreakBefore w:val="0"/>
        <w:kinsoku/>
        <w:wordWrap/>
        <w:overflowPunct/>
        <w:topLinePunct w:val="0"/>
        <w:bidi w:val="0"/>
        <w:spacing w:before="54" w:beforeLines="20" w:after="54" w:afterLines="20" w:line="240" w:lineRule="auto"/>
        <w:ind w:left="0" w:leftChars="0" w:firstLine="240" w:firstLineChars="100"/>
        <w:rPr>
          <w:rFonts w:hint="eastAsia" w:ascii="宋体" w:hAnsi="宋体" w:eastAsia="宋体" w:cs="宋体"/>
          <w:color w:val="auto"/>
          <w:highlight w:val="none"/>
        </w:rPr>
      </w:pPr>
      <w:r>
        <w:rPr>
          <w:rFonts w:hint="eastAsia" w:ascii="宋体" w:hAnsi="宋体" w:eastAsia="宋体" w:cs="宋体"/>
          <w:color w:val="auto"/>
          <w:sz w:val="24"/>
          <w:highlight w:val="none"/>
        </w:rPr>
        <w:t>特此证明。</w:t>
      </w:r>
    </w:p>
    <w:p>
      <w:pPr>
        <w:pageBreakBefore w:val="0"/>
        <w:kinsoku/>
        <w:wordWrap/>
        <w:overflowPunct/>
        <w:topLinePunct w:val="0"/>
        <w:bidi w:val="0"/>
        <w:adjustRightInd w:val="0"/>
        <w:snapToGrid w:val="0"/>
        <w:spacing w:before="62" w:beforeLines="20" w:after="62" w:afterLines="20" w:line="24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p>
    <w:p>
      <w:pPr>
        <w:pageBreakBefore w:val="0"/>
        <w:kinsoku/>
        <w:wordWrap/>
        <w:overflowPunct/>
        <w:topLinePunct w:val="0"/>
        <w:bidi w:val="0"/>
        <w:adjustRightInd w:val="0"/>
        <w:snapToGrid w:val="0"/>
        <w:spacing w:before="62" w:beforeLines="20" w:after="62" w:afterLines="20" w:line="240" w:lineRule="auto"/>
        <w:rPr>
          <w:rFonts w:hint="eastAsia" w:ascii="宋体" w:hAnsi="宋体" w:eastAsia="宋体" w:cs="宋体"/>
          <w:color w:val="auto"/>
          <w:sz w:val="24"/>
          <w:highlight w:val="none"/>
          <w:lang w:val="en-US" w:eastAsia="zh-CN"/>
        </w:rPr>
      </w:pPr>
    </w:p>
    <w:p>
      <w:pPr>
        <w:pageBreakBefore w:val="0"/>
        <w:kinsoku/>
        <w:wordWrap/>
        <w:overflowPunct/>
        <w:topLinePunct w:val="0"/>
        <w:bidi w:val="0"/>
        <w:adjustRightInd w:val="0"/>
        <w:snapToGrid w:val="0"/>
        <w:spacing w:before="62" w:beforeLines="20" w:after="62" w:afterLines="2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附：</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二代居民身份证影印件或扫描件</w:t>
      </w:r>
    </w:p>
    <w:p>
      <w:pPr>
        <w:pageBreakBefore w:val="0"/>
        <w:tabs>
          <w:tab w:val="left" w:pos="720"/>
          <w:tab w:val="left" w:pos="900"/>
        </w:tabs>
        <w:kinsoku/>
        <w:wordWrap/>
        <w:overflowPunct/>
        <w:topLinePunct w:val="0"/>
        <w:bidi w:val="0"/>
        <w:spacing w:before="54" w:beforeLines="20" w:after="54" w:afterLines="20" w:line="240" w:lineRule="auto"/>
        <w:rPr>
          <w:rFonts w:hint="eastAsia" w:ascii="宋体" w:hAnsi="宋体" w:eastAsia="宋体" w:cs="宋体"/>
          <w:color w:val="auto"/>
          <w:sz w:val="24"/>
          <w:highlight w:val="none"/>
        </w:rPr>
      </w:pPr>
    </w:p>
    <w:p>
      <w:pPr>
        <w:pageBreakBefore w:val="0"/>
        <w:tabs>
          <w:tab w:val="left" w:pos="720"/>
          <w:tab w:val="left" w:pos="900"/>
        </w:tabs>
        <w:kinsoku/>
        <w:wordWrap/>
        <w:overflowPunct/>
        <w:topLinePunct w:val="0"/>
        <w:bidi w:val="0"/>
        <w:spacing w:before="54" w:beforeLines="20" w:after="54" w:afterLines="20" w:line="240" w:lineRule="auto"/>
        <w:ind w:firstLine="3840" w:firstLineChars="1600"/>
        <w:rPr>
          <w:rFonts w:hint="eastAsia" w:ascii="宋体" w:hAnsi="宋体" w:eastAsia="宋体" w:cs="宋体"/>
          <w:color w:val="auto"/>
          <w:sz w:val="24"/>
          <w:highlight w:val="none"/>
        </w:rPr>
      </w:pPr>
      <w:r>
        <w:rPr>
          <w:rFonts w:hint="eastAsia" w:ascii="宋体" w:hAnsi="宋体" w:cs="宋体"/>
          <w:color w:val="auto"/>
          <w:sz w:val="24"/>
          <w:highlight w:val="none"/>
          <w:lang w:eastAsia="zh-CN"/>
        </w:rPr>
        <w:t>谈判响应人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（盖公章）</w:t>
      </w:r>
    </w:p>
    <w:p>
      <w:pPr>
        <w:pageBreakBefore w:val="0"/>
        <w:kinsoku/>
        <w:wordWrap/>
        <w:overflowPunct/>
        <w:topLinePunct w:val="0"/>
        <w:bidi w:val="0"/>
        <w:spacing w:before="54" w:beforeLines="20" w:after="54" w:afterLines="20" w:line="240" w:lineRule="auto"/>
        <w:ind w:firstLine="3840" w:firstLineChars="1600"/>
        <w:rPr>
          <w:rFonts w:hint="eastAsia" w:ascii="宋体" w:hAnsi="宋体" w:eastAsia="宋体" w:cs="宋体"/>
          <w:b/>
          <w:color w:val="auto"/>
          <w:sz w:val="32"/>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bookmarkEnd w:id="303"/>
    <w:bookmarkEnd w:id="304"/>
    <w:bookmarkEnd w:id="305"/>
    <w:p>
      <w:pPr>
        <w:pStyle w:val="16"/>
        <w:pageBreakBefore w:val="0"/>
        <w:kinsoku/>
        <w:wordWrap/>
        <w:overflowPunct/>
        <w:topLinePunct w:val="0"/>
        <w:bidi w:val="0"/>
        <w:spacing w:line="240" w:lineRule="auto"/>
        <w:jc w:val="center"/>
        <w:rPr>
          <w:rFonts w:hint="eastAsia" w:ascii="宋体" w:hAnsi="宋体" w:eastAsia="宋体" w:cs="宋体"/>
          <w:b/>
          <w:bCs/>
          <w:color w:val="auto"/>
          <w:sz w:val="32"/>
          <w:szCs w:val="32"/>
          <w:highlight w:val="none"/>
        </w:rPr>
      </w:pPr>
    </w:p>
    <w:p>
      <w:pPr>
        <w:pStyle w:val="16"/>
        <w:pageBreakBefore w:val="0"/>
        <w:kinsoku/>
        <w:wordWrap/>
        <w:overflowPunct/>
        <w:topLinePunct w:val="0"/>
        <w:bidi w:val="0"/>
        <w:spacing w:line="240" w:lineRule="auto"/>
        <w:jc w:val="center"/>
        <w:rPr>
          <w:rFonts w:hint="eastAsia" w:ascii="宋体" w:hAnsi="宋体" w:eastAsia="宋体" w:cs="宋体"/>
          <w:b/>
          <w:bCs/>
          <w:color w:val="auto"/>
          <w:sz w:val="32"/>
          <w:szCs w:val="32"/>
          <w:highlight w:val="none"/>
        </w:rPr>
      </w:pPr>
    </w:p>
    <w:p>
      <w:pPr>
        <w:pStyle w:val="16"/>
        <w:pageBreakBefore w:val="0"/>
        <w:kinsoku/>
        <w:wordWrap/>
        <w:overflowPunct/>
        <w:topLinePunct w:val="0"/>
        <w:bidi w:val="0"/>
        <w:spacing w:line="240" w:lineRule="auto"/>
        <w:jc w:val="center"/>
        <w:rPr>
          <w:rFonts w:hint="eastAsia" w:ascii="宋体" w:hAnsi="宋体" w:eastAsia="宋体" w:cs="宋体"/>
          <w:b/>
          <w:bCs/>
          <w:color w:val="auto"/>
          <w:sz w:val="32"/>
          <w:szCs w:val="32"/>
          <w:highlight w:val="none"/>
        </w:rPr>
      </w:pPr>
    </w:p>
    <w:p>
      <w:pPr>
        <w:pStyle w:val="16"/>
        <w:pageBreakBefore w:val="0"/>
        <w:kinsoku/>
        <w:wordWrap/>
        <w:overflowPunct/>
        <w:topLinePunct w:val="0"/>
        <w:bidi w:val="0"/>
        <w:spacing w:line="240" w:lineRule="auto"/>
        <w:jc w:val="center"/>
        <w:rPr>
          <w:rFonts w:hint="eastAsia" w:ascii="宋体" w:hAnsi="宋体" w:eastAsia="宋体" w:cs="宋体"/>
          <w:b/>
          <w:bCs/>
          <w:color w:val="auto"/>
          <w:sz w:val="32"/>
          <w:szCs w:val="32"/>
          <w:highlight w:val="none"/>
        </w:rPr>
      </w:pPr>
    </w:p>
    <w:p>
      <w:pPr>
        <w:pStyle w:val="16"/>
        <w:pageBreakBefore w:val="0"/>
        <w:kinsoku/>
        <w:wordWrap/>
        <w:overflowPunct/>
        <w:topLinePunct w:val="0"/>
        <w:bidi w:val="0"/>
        <w:spacing w:line="240" w:lineRule="auto"/>
        <w:jc w:val="center"/>
        <w:rPr>
          <w:rFonts w:hint="eastAsia" w:ascii="宋体" w:hAnsi="宋体" w:eastAsia="宋体" w:cs="宋体"/>
          <w:b/>
          <w:bCs/>
          <w:color w:val="auto"/>
          <w:sz w:val="32"/>
          <w:szCs w:val="32"/>
          <w:highlight w:val="none"/>
        </w:rPr>
      </w:pPr>
    </w:p>
    <w:p>
      <w:pPr>
        <w:pStyle w:val="16"/>
        <w:pageBreakBefore w:val="0"/>
        <w:kinsoku/>
        <w:wordWrap/>
        <w:overflowPunct/>
        <w:topLinePunct w:val="0"/>
        <w:bidi w:val="0"/>
        <w:spacing w:line="240" w:lineRule="auto"/>
        <w:jc w:val="center"/>
        <w:rPr>
          <w:rFonts w:hint="eastAsia" w:ascii="宋体" w:hAnsi="宋体" w:eastAsia="宋体" w:cs="宋体"/>
          <w:b/>
          <w:bCs/>
          <w:color w:val="auto"/>
          <w:sz w:val="32"/>
          <w:szCs w:val="32"/>
          <w:highlight w:val="none"/>
        </w:rPr>
      </w:pPr>
    </w:p>
    <w:p>
      <w:pPr>
        <w:pStyle w:val="16"/>
        <w:pageBreakBefore w:val="0"/>
        <w:kinsoku/>
        <w:wordWrap/>
        <w:overflowPunct/>
        <w:topLinePunct w:val="0"/>
        <w:bidi w:val="0"/>
        <w:spacing w:line="240" w:lineRule="auto"/>
        <w:jc w:val="center"/>
        <w:rPr>
          <w:rFonts w:hint="eastAsia" w:ascii="宋体" w:hAnsi="宋体" w:eastAsia="宋体" w:cs="宋体"/>
          <w:b/>
          <w:bCs/>
          <w:color w:val="auto"/>
          <w:sz w:val="32"/>
          <w:szCs w:val="32"/>
          <w:highlight w:val="none"/>
        </w:rPr>
      </w:pPr>
    </w:p>
    <w:p>
      <w:pPr>
        <w:pStyle w:val="16"/>
        <w:pageBreakBefore w:val="0"/>
        <w:kinsoku/>
        <w:wordWrap/>
        <w:overflowPunct/>
        <w:topLinePunct w:val="0"/>
        <w:bidi w:val="0"/>
        <w:spacing w:line="240" w:lineRule="auto"/>
        <w:jc w:val="center"/>
        <w:rPr>
          <w:rFonts w:hint="eastAsia" w:ascii="宋体" w:hAnsi="宋体" w:eastAsia="宋体" w:cs="宋体"/>
          <w:b/>
          <w:bCs/>
          <w:color w:val="auto"/>
          <w:sz w:val="32"/>
          <w:szCs w:val="32"/>
          <w:highlight w:val="none"/>
        </w:rPr>
      </w:pPr>
    </w:p>
    <w:p>
      <w:pPr>
        <w:pStyle w:val="16"/>
        <w:pageBreakBefore w:val="0"/>
        <w:kinsoku/>
        <w:wordWrap/>
        <w:overflowPunct/>
        <w:topLinePunct w:val="0"/>
        <w:bidi w:val="0"/>
        <w:spacing w:line="240" w:lineRule="auto"/>
        <w:jc w:val="center"/>
        <w:rPr>
          <w:rFonts w:hint="eastAsia" w:ascii="宋体" w:hAnsi="宋体" w:eastAsia="宋体" w:cs="宋体"/>
          <w:b/>
          <w:bCs/>
          <w:color w:val="auto"/>
          <w:sz w:val="32"/>
          <w:szCs w:val="32"/>
          <w:highlight w:val="none"/>
        </w:rPr>
      </w:pPr>
    </w:p>
    <w:p>
      <w:pPr>
        <w:pStyle w:val="16"/>
        <w:pageBreakBefore w:val="0"/>
        <w:kinsoku/>
        <w:wordWrap/>
        <w:overflowPunct/>
        <w:topLinePunct w:val="0"/>
        <w:bidi w:val="0"/>
        <w:spacing w:line="240" w:lineRule="auto"/>
        <w:jc w:val="center"/>
        <w:rPr>
          <w:rFonts w:hint="eastAsia" w:ascii="宋体" w:hAnsi="宋体" w:eastAsia="宋体" w:cs="宋体"/>
          <w:b/>
          <w:bCs/>
          <w:color w:val="auto"/>
          <w:sz w:val="32"/>
          <w:szCs w:val="32"/>
          <w:highlight w:val="none"/>
        </w:rPr>
      </w:pPr>
    </w:p>
    <w:p>
      <w:pPr>
        <w:pStyle w:val="16"/>
        <w:pageBreakBefore w:val="0"/>
        <w:kinsoku/>
        <w:wordWrap/>
        <w:overflowPunct/>
        <w:topLinePunct w:val="0"/>
        <w:bidi w:val="0"/>
        <w:spacing w:line="240" w:lineRule="auto"/>
        <w:jc w:val="center"/>
        <w:rPr>
          <w:rFonts w:hint="eastAsia" w:ascii="宋体" w:hAnsi="宋体" w:eastAsia="宋体" w:cs="宋体"/>
          <w:color w:val="auto"/>
          <w:sz w:val="32"/>
          <w:szCs w:val="32"/>
          <w:highlight w:val="none"/>
          <w:lang w:eastAsia="zh-CN"/>
        </w:rPr>
      </w:pPr>
      <w:r>
        <w:rPr>
          <w:rFonts w:hint="eastAsia" w:hAnsi="宋体" w:eastAsia="宋体" w:cs="宋体"/>
          <w:b/>
          <w:bCs/>
          <w:color w:val="auto"/>
          <w:sz w:val="32"/>
          <w:szCs w:val="32"/>
          <w:highlight w:val="none"/>
          <w:lang w:eastAsia="zh-CN"/>
        </w:rPr>
        <w:t>法定代表人授权委托书</w:t>
      </w:r>
    </w:p>
    <w:p>
      <w:pPr>
        <w:pStyle w:val="14"/>
        <w:pageBreakBefore w:val="0"/>
        <w:kinsoku/>
        <w:wordWrap/>
        <w:overflowPunct/>
        <w:topLinePunct w:val="0"/>
        <w:bidi w:val="0"/>
        <w:adjustRightInd w:val="0"/>
        <w:snapToGrid w:val="0"/>
        <w:spacing w:before="54" w:beforeLines="20" w:after="54" w:afterLines="20" w:line="240" w:lineRule="auto"/>
        <w:ind w:left="0" w:leftChars="0" w:firstLine="960" w:firstLineChars="400"/>
        <w:rPr>
          <w:rFonts w:hint="eastAsia" w:ascii="宋体" w:hAnsi="宋体" w:eastAsia="宋体" w:cs="宋体"/>
          <w:color w:val="auto"/>
          <w:sz w:val="24"/>
          <w:highlight w:val="none"/>
        </w:rPr>
      </w:pPr>
    </w:p>
    <w:p>
      <w:pPr>
        <w:pStyle w:val="14"/>
        <w:pageBreakBefore w:val="0"/>
        <w:kinsoku/>
        <w:wordWrap/>
        <w:overflowPunct/>
        <w:topLinePunct w:val="0"/>
        <w:bidi w:val="0"/>
        <w:adjustRightInd w:val="0"/>
        <w:snapToGrid w:val="0"/>
        <w:spacing w:after="0" w:line="24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（姓名）系 </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val="en-US" w:eastAsia="zh-CN"/>
        </w:rPr>
        <w:t>谈 判 响 应</w:t>
      </w:r>
      <w:r>
        <w:rPr>
          <w:rFonts w:hint="eastAsia" w:ascii="宋体" w:hAnsi="宋体" w:eastAsia="宋体" w:cs="宋体"/>
          <w:color w:val="auto"/>
          <w:sz w:val="24"/>
          <w:highlight w:val="none"/>
          <w:u w:val="single"/>
        </w:rPr>
        <w:t xml:space="preserve"> 人 名 称）</w:t>
      </w:r>
      <w:r>
        <w:rPr>
          <w:rFonts w:hint="eastAsia" w:ascii="宋体" w:hAnsi="宋体" w:eastAsia="宋体" w:cs="宋体"/>
          <w:color w:val="auto"/>
          <w:sz w:val="24"/>
          <w:highlight w:val="none"/>
        </w:rPr>
        <w:t xml:space="preserve">的法定代表人，现授权委托 </w:t>
      </w:r>
      <w:r>
        <w:rPr>
          <w:rFonts w:hint="eastAsia" w:ascii="宋体" w:hAnsi="宋体" w:eastAsia="宋体" w:cs="宋体"/>
          <w:color w:val="auto"/>
          <w:sz w:val="24"/>
          <w:highlight w:val="none"/>
          <w:u w:val="single"/>
        </w:rPr>
        <w:t xml:space="preserve">    （单位名称）</w:t>
      </w:r>
      <w:r>
        <w:rPr>
          <w:rFonts w:hint="eastAsia" w:ascii="宋体" w:hAnsi="宋体" w:eastAsia="宋体" w:cs="宋体"/>
          <w:color w:val="auto"/>
          <w:sz w:val="24"/>
          <w:highlight w:val="none"/>
        </w:rPr>
        <w:t xml:space="preserve">     的 </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为我公司的合法代理人，就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名称）的投标、施工、竣工和保修，以本公司的名义签署</w:t>
      </w:r>
      <w:r>
        <w:rPr>
          <w:rFonts w:hint="eastAsia" w:ascii="宋体" w:hAnsi="宋体" w:cs="宋体"/>
          <w:color w:val="auto"/>
          <w:sz w:val="24"/>
          <w:highlight w:val="none"/>
          <w:lang w:val="en-US" w:eastAsia="zh-CN"/>
        </w:rPr>
        <w:t>谈判响应文件</w:t>
      </w:r>
      <w:r>
        <w:rPr>
          <w:rFonts w:hint="eastAsia" w:ascii="宋体" w:hAnsi="宋体" w:eastAsia="宋体" w:cs="宋体"/>
          <w:color w:val="auto"/>
          <w:sz w:val="24"/>
          <w:highlight w:val="none"/>
        </w:rPr>
        <w:t>，解释</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，进行谈判、签署合同和处理与之有关的一切事宜。</w:t>
      </w:r>
    </w:p>
    <w:p>
      <w:pPr>
        <w:pStyle w:val="11"/>
        <w:pageBreakBefore w:val="0"/>
        <w:kinsoku/>
        <w:wordWrap/>
        <w:overflowPunct/>
        <w:topLinePunct w:val="0"/>
        <w:bidi w:val="0"/>
        <w:adjustRightInd w:val="0"/>
        <w:snapToGrid w:val="0"/>
        <w:spacing w:after="0" w:line="24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代理人无转委托权，特此委托。</w:t>
      </w:r>
    </w:p>
    <w:p>
      <w:pPr>
        <w:pageBreakBefore w:val="0"/>
        <w:kinsoku/>
        <w:wordWrap/>
        <w:overflowPunct/>
        <w:topLinePunct w:val="0"/>
        <w:bidi w:val="0"/>
        <w:adjustRightInd w:val="0"/>
        <w:snapToGrid w:val="0"/>
        <w:spacing w:before="54" w:beforeLines="20" w:after="54" w:afterLines="20" w:line="240" w:lineRule="auto"/>
        <w:rPr>
          <w:rFonts w:hint="eastAsia" w:ascii="宋体" w:hAnsi="宋体" w:eastAsia="宋体" w:cs="宋体"/>
          <w:color w:val="auto"/>
          <w:sz w:val="24"/>
          <w:highlight w:val="none"/>
        </w:rPr>
      </w:pPr>
    </w:p>
    <w:p>
      <w:pPr>
        <w:pageBreakBefore w:val="0"/>
        <w:kinsoku/>
        <w:wordWrap/>
        <w:overflowPunct/>
        <w:topLinePunct w:val="0"/>
        <w:bidi w:val="0"/>
        <w:adjustRightInd w:val="0"/>
        <w:snapToGrid w:val="0"/>
        <w:spacing w:before="54" w:beforeLines="20" w:after="54" w:afterLines="20" w:line="24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委托</w:t>
      </w:r>
      <w:r>
        <w:rPr>
          <w:rFonts w:hint="eastAsia" w:ascii="宋体" w:hAnsi="宋体" w:eastAsia="宋体" w:cs="宋体"/>
          <w:color w:val="auto"/>
          <w:sz w:val="24"/>
          <w:highlight w:val="none"/>
        </w:rPr>
        <w:t>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年龄：_______</w:t>
      </w:r>
    </w:p>
    <w:p>
      <w:pPr>
        <w:pageBreakBefore w:val="0"/>
        <w:kinsoku/>
        <w:wordWrap/>
        <w:overflowPunct/>
        <w:topLinePunct w:val="0"/>
        <w:bidi w:val="0"/>
        <w:adjustRightInd w:val="0"/>
        <w:snapToGrid w:val="0"/>
        <w:spacing w:before="54" w:beforeLines="20" w:after="54" w:afterLines="2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手机号码：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（须保持畅通，否则引起的一切后果自行承担）</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pageBreakBefore w:val="0"/>
        <w:kinsoku/>
        <w:wordWrap/>
        <w:overflowPunct/>
        <w:topLinePunct w:val="0"/>
        <w:bidi w:val="0"/>
        <w:adjustRightInd w:val="0"/>
        <w:snapToGrid w:val="0"/>
        <w:spacing w:before="54" w:beforeLines="20" w:after="54" w:afterLines="2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pageBreakBefore w:val="0"/>
        <w:kinsoku/>
        <w:wordWrap/>
        <w:overflowPunct/>
        <w:topLinePunct w:val="0"/>
        <w:bidi w:val="0"/>
        <w:adjustRightInd w:val="0"/>
        <w:snapToGrid w:val="0"/>
        <w:spacing w:before="54" w:beforeLines="20" w:after="54" w:afterLines="20" w:line="24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谈判响应人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（盖章）</w:t>
      </w:r>
      <w:r>
        <w:rPr>
          <w:rFonts w:hint="eastAsia" w:ascii="宋体" w:hAnsi="宋体" w:eastAsia="宋体" w:cs="宋体"/>
          <w:color w:val="auto"/>
          <w:sz w:val="24"/>
          <w:highlight w:val="none"/>
        </w:rPr>
        <w:t xml:space="preserve">  </w:t>
      </w:r>
    </w:p>
    <w:p>
      <w:pPr>
        <w:pageBreakBefore w:val="0"/>
        <w:kinsoku/>
        <w:wordWrap/>
        <w:overflowPunct/>
        <w:topLinePunct w:val="0"/>
        <w:bidi w:val="0"/>
        <w:adjustRightInd w:val="0"/>
        <w:snapToGrid w:val="0"/>
        <w:spacing w:before="54" w:beforeLines="20" w:after="54" w:afterLines="2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签字或</w:t>
      </w:r>
      <w:r>
        <w:rPr>
          <w:rFonts w:hint="eastAsia" w:ascii="宋体" w:hAnsi="宋体" w:eastAsia="宋体" w:cs="宋体"/>
          <w:color w:val="auto"/>
          <w:sz w:val="24"/>
          <w:highlight w:val="none"/>
          <w:u w:val="single"/>
        </w:rPr>
        <w:t>盖章）</w:t>
      </w:r>
    </w:p>
    <w:p>
      <w:pPr>
        <w:pageBreakBefore w:val="0"/>
        <w:kinsoku/>
        <w:wordWrap/>
        <w:overflowPunct/>
        <w:topLinePunct w:val="0"/>
        <w:bidi w:val="0"/>
        <w:adjustRightInd w:val="0"/>
        <w:snapToGrid w:val="0"/>
        <w:spacing w:before="54" w:beforeLines="20" w:after="54" w:afterLines="20" w:line="240" w:lineRule="auto"/>
        <w:rPr>
          <w:rFonts w:hint="eastAsia" w:ascii="宋体" w:hAnsi="宋体" w:eastAsia="宋体" w:cs="宋体"/>
          <w:color w:val="auto"/>
          <w:sz w:val="24"/>
          <w:highlight w:val="none"/>
        </w:rPr>
      </w:pPr>
    </w:p>
    <w:p>
      <w:pPr>
        <w:pageBreakBefore w:val="0"/>
        <w:kinsoku/>
        <w:wordWrap/>
        <w:overflowPunct/>
        <w:topLinePunct w:val="0"/>
        <w:bidi w:val="0"/>
        <w:adjustRightInd w:val="0"/>
        <w:snapToGrid w:val="0"/>
        <w:spacing w:before="54" w:beforeLines="20" w:after="54" w:afterLines="20" w:line="240" w:lineRule="auto"/>
        <w:ind w:firstLine="2400" w:firstLineChars="1000"/>
        <w:rPr>
          <w:rFonts w:hint="eastAsia" w:ascii="宋体" w:hAnsi="宋体" w:eastAsia="宋体" w:cs="宋体"/>
          <w:color w:val="auto"/>
          <w:sz w:val="24"/>
          <w:highlight w:val="none"/>
        </w:rPr>
      </w:pPr>
    </w:p>
    <w:p>
      <w:pPr>
        <w:pageBreakBefore w:val="0"/>
        <w:kinsoku/>
        <w:wordWrap/>
        <w:overflowPunct/>
        <w:topLinePunct w:val="0"/>
        <w:bidi w:val="0"/>
        <w:adjustRightInd w:val="0"/>
        <w:snapToGrid w:val="0"/>
        <w:spacing w:before="62" w:beforeLines="20" w:after="62" w:afterLines="2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w:t>
      </w:r>
      <w:r>
        <w:rPr>
          <w:rFonts w:hint="eastAsia" w:ascii="宋体" w:hAnsi="宋体" w:eastAsia="宋体" w:cs="宋体"/>
          <w:color w:val="auto"/>
          <w:sz w:val="24"/>
          <w:highlight w:val="none"/>
          <w:lang w:eastAsia="zh-CN"/>
        </w:rPr>
        <w:t>代理人</w:t>
      </w:r>
      <w:r>
        <w:rPr>
          <w:rFonts w:hint="eastAsia" w:ascii="宋体" w:hAnsi="宋体" w:eastAsia="宋体" w:cs="宋体"/>
          <w:color w:val="auto"/>
          <w:sz w:val="24"/>
          <w:highlight w:val="none"/>
        </w:rPr>
        <w:t>二代居民身份证影印件或扫描件</w:t>
      </w:r>
    </w:p>
    <w:p>
      <w:pPr>
        <w:pageBreakBefore w:val="0"/>
        <w:kinsoku/>
        <w:wordWrap/>
        <w:overflowPunct/>
        <w:topLinePunct w:val="0"/>
        <w:bidi w:val="0"/>
        <w:adjustRightInd w:val="0"/>
        <w:snapToGrid w:val="0"/>
        <w:spacing w:before="54" w:beforeLines="20" w:after="54" w:afterLines="20" w:line="240" w:lineRule="auto"/>
        <w:rPr>
          <w:rFonts w:hint="eastAsia" w:ascii="宋体" w:hAnsi="宋体" w:eastAsia="宋体" w:cs="宋体"/>
          <w:color w:val="auto"/>
          <w:sz w:val="24"/>
          <w:highlight w:val="none"/>
        </w:rPr>
      </w:pPr>
    </w:p>
    <w:p>
      <w:pPr>
        <w:pageBreakBefore w:val="0"/>
        <w:kinsoku/>
        <w:wordWrap/>
        <w:overflowPunct/>
        <w:topLinePunct w:val="0"/>
        <w:bidi w:val="0"/>
        <w:adjustRightInd w:val="0"/>
        <w:snapToGrid w:val="0"/>
        <w:spacing w:before="54" w:beforeLines="20" w:after="54" w:afterLines="20" w:line="240" w:lineRule="auto"/>
        <w:ind w:firstLine="2400" w:firstLineChars="1000"/>
        <w:rPr>
          <w:rFonts w:hint="eastAsia" w:ascii="宋体" w:hAnsi="宋体" w:eastAsia="宋体" w:cs="宋体"/>
          <w:color w:val="auto"/>
          <w:sz w:val="24"/>
          <w:highlight w:val="none"/>
        </w:rPr>
      </w:pPr>
    </w:p>
    <w:p>
      <w:pPr>
        <w:pageBreakBefore w:val="0"/>
        <w:kinsoku/>
        <w:wordWrap/>
        <w:overflowPunct/>
        <w:topLinePunct w:val="0"/>
        <w:bidi w:val="0"/>
        <w:adjustRightInd w:val="0"/>
        <w:snapToGrid w:val="0"/>
        <w:spacing w:before="54" w:beforeLines="20" w:after="54" w:afterLines="20" w:line="240" w:lineRule="auto"/>
        <w:ind w:firstLine="2400" w:firstLineChars="1000"/>
        <w:rPr>
          <w:rFonts w:hint="eastAsia" w:ascii="宋体" w:hAnsi="宋体" w:eastAsia="宋体" w:cs="宋体"/>
          <w:color w:val="auto"/>
          <w:sz w:val="24"/>
          <w:highlight w:val="none"/>
        </w:rPr>
      </w:pPr>
    </w:p>
    <w:p>
      <w:pPr>
        <w:pStyle w:val="16"/>
        <w:pageBreakBefore w:val="0"/>
        <w:kinsoku/>
        <w:wordWrap/>
        <w:overflowPunct/>
        <w:topLinePunct w:val="0"/>
        <w:bidi w:val="0"/>
        <w:spacing w:line="240" w:lineRule="auto"/>
        <w:jc w:val="center"/>
        <w:rPr>
          <w:rFonts w:hint="eastAsia" w:ascii="宋体" w:hAnsi="宋体" w:eastAsia="宋体" w:cs="宋体"/>
          <w:color w:val="auto"/>
          <w:sz w:val="24"/>
          <w:szCs w:val="24"/>
          <w:highlight w:val="none"/>
        </w:rPr>
      </w:pPr>
      <w:bookmarkStart w:id="310" w:name="_Toc171741992"/>
      <w:bookmarkStart w:id="311" w:name="_Toc171581549"/>
      <w:bookmarkStart w:id="312" w:name="_Toc171581369"/>
      <w:r>
        <w:rPr>
          <w:rFonts w:hint="eastAsia" w:ascii="宋体" w:hAnsi="宋体" w:eastAsia="宋体" w:cs="宋体"/>
          <w:color w:val="auto"/>
          <w:sz w:val="24"/>
          <w:szCs w:val="24"/>
          <w:highlight w:val="none"/>
        </w:rPr>
        <w:t>授权委托日期：     年     月     日</w:t>
      </w:r>
      <w:bookmarkEnd w:id="310"/>
      <w:bookmarkEnd w:id="311"/>
      <w:bookmarkEnd w:id="312"/>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szCs w:val="24"/>
          <w:highlight w:val="none"/>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szCs w:val="24"/>
          <w:highlight w:val="none"/>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szCs w:val="24"/>
          <w:highlight w:val="none"/>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szCs w:val="24"/>
          <w:highlight w:val="none"/>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szCs w:val="24"/>
          <w:highlight w:val="none"/>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szCs w:val="24"/>
          <w:highlight w:val="none"/>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szCs w:val="24"/>
          <w:highlight w:val="none"/>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szCs w:val="24"/>
          <w:highlight w:val="none"/>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szCs w:val="24"/>
          <w:highlight w:val="none"/>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szCs w:val="24"/>
          <w:highlight w:val="none"/>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szCs w:val="24"/>
          <w:highlight w:val="none"/>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szCs w:val="24"/>
          <w:highlight w:val="none"/>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szCs w:val="24"/>
          <w:highlight w:val="none"/>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szCs w:val="24"/>
          <w:highlight w:val="none"/>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szCs w:val="24"/>
          <w:highlight w:val="none"/>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szCs w:val="24"/>
          <w:highlight w:val="none"/>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szCs w:val="24"/>
          <w:highlight w:val="none"/>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24"/>
          <w:szCs w:val="24"/>
          <w:highlight w:val="none"/>
        </w:rPr>
      </w:pPr>
    </w:p>
    <w:p>
      <w:pPr>
        <w:pStyle w:val="4"/>
        <w:pageBreakBefore w:val="0"/>
        <w:kinsoku/>
        <w:wordWrap/>
        <w:overflowPunct/>
        <w:topLinePunct w:val="0"/>
        <w:bidi w:val="0"/>
        <w:spacing w:line="240" w:lineRule="auto"/>
        <w:rPr>
          <w:rFonts w:hint="eastAsia"/>
          <w:color w:val="auto"/>
          <w:highlight w:val="none"/>
        </w:rPr>
      </w:pPr>
      <w:bookmarkStart w:id="313" w:name="_Toc26967_WPSOffice_Level1"/>
      <w:bookmarkStart w:id="314" w:name="_Toc2165"/>
      <w:bookmarkStart w:id="315" w:name="_Toc15329"/>
      <w:bookmarkStart w:id="316" w:name="_Toc3733"/>
      <w:r>
        <w:rPr>
          <w:rFonts w:hint="eastAsia"/>
          <w:color w:val="auto"/>
          <w:highlight w:val="none"/>
          <w:lang w:val="en-US" w:eastAsia="zh-CN"/>
        </w:rPr>
        <w:t>（二）</w:t>
      </w:r>
      <w:r>
        <w:rPr>
          <w:rFonts w:hint="eastAsia"/>
          <w:color w:val="auto"/>
          <w:highlight w:val="none"/>
        </w:rPr>
        <w:t>诚信</w:t>
      </w:r>
      <w:r>
        <w:rPr>
          <w:rFonts w:hint="eastAsia"/>
          <w:color w:val="auto"/>
          <w:highlight w:val="none"/>
          <w:lang w:val="en-US" w:eastAsia="zh-CN"/>
        </w:rPr>
        <w:t>谈判</w:t>
      </w:r>
      <w:r>
        <w:rPr>
          <w:rFonts w:hint="eastAsia"/>
          <w:color w:val="auto"/>
          <w:highlight w:val="none"/>
        </w:rPr>
        <w:t>承诺书</w:t>
      </w:r>
      <w:bookmarkEnd w:id="313"/>
      <w:bookmarkEnd w:id="314"/>
      <w:bookmarkEnd w:id="315"/>
      <w:bookmarkEnd w:id="316"/>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致_______________（</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名称）、相关监督部门：</w:t>
      </w:r>
    </w:p>
    <w:p>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我公司将遵循公开、公平、公正和诚实信用的原则，参加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项目的投标活动。现作以下承诺：</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一、服从</w:t>
      </w:r>
      <w:r>
        <w:rPr>
          <w:rFonts w:hint="eastAsia" w:ascii="宋体" w:hAnsi="宋体" w:cs="宋体"/>
          <w:color w:val="auto"/>
          <w:sz w:val="24"/>
          <w:highlight w:val="none"/>
          <w:shd w:val="clear" w:color="auto" w:fill="auto"/>
          <w:lang w:eastAsia="zh-CN"/>
        </w:rPr>
        <w:t>采购人</w:t>
      </w:r>
      <w:r>
        <w:rPr>
          <w:rFonts w:hint="eastAsia" w:ascii="宋体" w:hAnsi="宋体" w:eastAsia="宋体" w:cs="宋体"/>
          <w:color w:val="auto"/>
          <w:sz w:val="24"/>
          <w:highlight w:val="none"/>
          <w:shd w:val="clear" w:color="auto" w:fill="auto"/>
        </w:rPr>
        <w:t>依法组建的</w:t>
      </w:r>
      <w:r>
        <w:rPr>
          <w:rFonts w:hint="eastAsia" w:ascii="宋体" w:hAnsi="宋体" w:cs="宋体"/>
          <w:color w:val="auto"/>
          <w:sz w:val="24"/>
          <w:highlight w:val="none"/>
          <w:shd w:val="clear" w:color="auto" w:fill="auto"/>
          <w:lang w:eastAsia="zh-CN"/>
        </w:rPr>
        <w:t>谈判小组</w:t>
      </w:r>
      <w:r>
        <w:rPr>
          <w:rFonts w:hint="eastAsia" w:ascii="宋体" w:hAnsi="宋体" w:eastAsia="宋体" w:cs="宋体"/>
          <w:color w:val="auto"/>
          <w:sz w:val="24"/>
          <w:highlight w:val="none"/>
          <w:shd w:val="clear" w:color="auto" w:fill="auto"/>
        </w:rPr>
        <w:t>的评审，认真完成</w:t>
      </w:r>
      <w:r>
        <w:rPr>
          <w:rFonts w:hint="eastAsia" w:ascii="宋体" w:hAnsi="宋体" w:cs="宋体"/>
          <w:color w:val="auto"/>
          <w:sz w:val="24"/>
          <w:highlight w:val="none"/>
          <w:shd w:val="clear" w:color="auto" w:fill="auto"/>
          <w:lang w:eastAsia="zh-CN"/>
        </w:rPr>
        <w:t>谈判小组</w:t>
      </w:r>
      <w:r>
        <w:rPr>
          <w:rFonts w:hint="eastAsia" w:ascii="宋体" w:hAnsi="宋体" w:eastAsia="宋体" w:cs="宋体"/>
          <w:color w:val="auto"/>
          <w:sz w:val="24"/>
          <w:highlight w:val="none"/>
          <w:shd w:val="clear" w:color="auto" w:fill="auto"/>
        </w:rPr>
        <w:t>的询标，对评标过程及结果有异议，以书面形式向监督人员或</w:t>
      </w:r>
      <w:r>
        <w:rPr>
          <w:rFonts w:hint="eastAsia" w:ascii="宋体" w:hAnsi="宋体" w:cs="宋体"/>
          <w:color w:val="auto"/>
          <w:sz w:val="24"/>
          <w:highlight w:val="none"/>
          <w:shd w:val="clear" w:color="auto" w:fill="auto"/>
          <w:lang w:eastAsia="zh-CN"/>
        </w:rPr>
        <w:t>谈判小组</w:t>
      </w:r>
      <w:r>
        <w:rPr>
          <w:rFonts w:hint="eastAsia" w:ascii="宋体" w:hAnsi="宋体" w:eastAsia="宋体" w:cs="宋体"/>
          <w:color w:val="auto"/>
          <w:sz w:val="24"/>
          <w:highlight w:val="none"/>
          <w:shd w:val="clear" w:color="auto" w:fill="auto"/>
        </w:rPr>
        <w:t>提出，自觉维护评标秩序。</w:t>
      </w:r>
    </w:p>
    <w:p>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80" w:firstLineChars="200"/>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二、我公司提交的</w:t>
      </w:r>
      <w:r>
        <w:rPr>
          <w:rFonts w:hint="eastAsia" w:ascii="宋体" w:hAnsi="宋体" w:cs="宋体"/>
          <w:color w:val="auto"/>
          <w:sz w:val="24"/>
          <w:highlight w:val="none"/>
          <w:shd w:val="clear" w:color="auto" w:fill="auto"/>
          <w:lang w:eastAsia="zh-CN"/>
        </w:rPr>
        <w:t>谈判响应文件</w:t>
      </w:r>
      <w:r>
        <w:rPr>
          <w:rFonts w:hint="eastAsia" w:ascii="宋体" w:hAnsi="宋体" w:eastAsia="宋体" w:cs="宋体"/>
          <w:color w:val="auto"/>
          <w:sz w:val="24"/>
          <w:highlight w:val="none"/>
          <w:shd w:val="clear" w:color="auto" w:fill="auto"/>
        </w:rPr>
        <w:t>的内容包括但不限于资质资格证书、业绩及奖项证明材料等均真实、合法有效；</w:t>
      </w:r>
      <w:r>
        <w:rPr>
          <w:rFonts w:hint="eastAsia" w:ascii="宋体" w:hAnsi="宋体" w:eastAsia="宋体" w:cs="宋体"/>
          <w:color w:val="auto"/>
          <w:sz w:val="24"/>
          <w:highlight w:val="none"/>
          <w:shd w:val="clear" w:color="auto" w:fill="auto"/>
          <w:lang w:val="en-US" w:eastAsia="zh-CN"/>
        </w:rPr>
        <w:t>企业</w:t>
      </w:r>
      <w:r>
        <w:rPr>
          <w:rFonts w:hint="eastAsia" w:ascii="宋体" w:hAnsi="宋体" w:eastAsia="宋体" w:cs="宋体"/>
          <w:color w:val="auto"/>
          <w:sz w:val="24"/>
          <w:highlight w:val="none"/>
          <w:shd w:val="clear" w:color="auto" w:fill="auto"/>
        </w:rPr>
        <w:t>资质</w:t>
      </w:r>
      <w:r>
        <w:rPr>
          <w:rFonts w:hint="eastAsia" w:ascii="宋体" w:hAnsi="宋体" w:eastAsia="宋体" w:cs="宋体"/>
          <w:color w:val="auto"/>
          <w:sz w:val="24"/>
          <w:highlight w:val="none"/>
          <w:shd w:val="clear" w:color="auto" w:fill="auto"/>
          <w:lang w:val="en-US" w:eastAsia="zh-CN"/>
        </w:rPr>
        <w:t>证书、拟派项目经理的建造师注册</w:t>
      </w:r>
      <w:r>
        <w:rPr>
          <w:rFonts w:hint="eastAsia" w:ascii="宋体" w:hAnsi="宋体" w:eastAsia="宋体" w:cs="宋体"/>
          <w:color w:val="auto"/>
          <w:sz w:val="24"/>
          <w:highlight w:val="none"/>
          <w:shd w:val="clear" w:color="auto" w:fill="auto"/>
        </w:rPr>
        <w:t>证书</w:t>
      </w:r>
      <w:r>
        <w:rPr>
          <w:rFonts w:hint="eastAsia" w:ascii="宋体" w:hAnsi="宋体" w:eastAsia="宋体" w:cs="宋体"/>
          <w:color w:val="auto"/>
          <w:sz w:val="24"/>
          <w:highlight w:val="none"/>
          <w:shd w:val="clear" w:color="auto" w:fill="auto"/>
          <w:lang w:val="en-US" w:eastAsia="zh-CN"/>
        </w:rPr>
        <w:t>满足</w:t>
      </w:r>
      <w:r>
        <w:rPr>
          <w:rFonts w:hint="eastAsia" w:ascii="宋体" w:hAnsi="宋体" w:cs="宋体"/>
          <w:color w:val="auto"/>
          <w:sz w:val="24"/>
          <w:highlight w:val="none"/>
          <w:shd w:val="clear" w:color="auto" w:fill="auto"/>
          <w:lang w:val="en-US" w:eastAsia="zh-CN"/>
        </w:rPr>
        <w:t>竞争性谈判文件</w:t>
      </w:r>
      <w:r>
        <w:rPr>
          <w:rFonts w:hint="eastAsia" w:ascii="宋体" w:hAnsi="宋体" w:eastAsia="宋体" w:cs="宋体"/>
          <w:color w:val="auto"/>
          <w:sz w:val="24"/>
          <w:highlight w:val="none"/>
          <w:shd w:val="clear" w:color="auto" w:fill="auto"/>
          <w:lang w:val="en-US" w:eastAsia="zh-CN"/>
        </w:rPr>
        <w:t>要求；拟派项目经理符合其投标文件中提供的“项目经理承诺”。</w:t>
      </w:r>
      <w:r>
        <w:rPr>
          <w:rFonts w:hint="eastAsia" w:ascii="宋体" w:hAnsi="宋体" w:eastAsia="宋体" w:cs="宋体"/>
          <w:color w:val="auto"/>
          <w:sz w:val="24"/>
          <w:highlight w:val="none"/>
          <w:shd w:val="clear" w:color="auto" w:fill="auto"/>
        </w:rPr>
        <w:t>否则，我公司愿意接受</w:t>
      </w:r>
      <w:r>
        <w:rPr>
          <w:rFonts w:hint="eastAsia" w:ascii="宋体" w:hAnsi="宋体" w:cs="宋体"/>
          <w:color w:val="auto"/>
          <w:sz w:val="24"/>
          <w:highlight w:val="none"/>
          <w:shd w:val="clear" w:color="auto" w:fill="auto"/>
          <w:lang w:eastAsia="zh-CN"/>
        </w:rPr>
        <w:t>采购人</w:t>
      </w:r>
      <w:r>
        <w:rPr>
          <w:rFonts w:hint="eastAsia" w:ascii="宋体" w:hAnsi="宋体" w:eastAsia="宋体" w:cs="宋体"/>
          <w:color w:val="auto"/>
          <w:sz w:val="24"/>
          <w:highlight w:val="none"/>
          <w:shd w:val="clear" w:color="auto" w:fill="auto"/>
        </w:rPr>
        <w:t>、相关监督部门作出的包括但不限于取消投标（中标）资格、投标保证金不予</w:t>
      </w:r>
      <w:r>
        <w:rPr>
          <w:rFonts w:hint="eastAsia" w:ascii="宋体" w:hAnsi="宋体" w:eastAsia="宋体" w:cs="宋体"/>
          <w:color w:val="auto"/>
          <w:sz w:val="24"/>
          <w:highlight w:val="none"/>
          <w:shd w:val="clear" w:color="auto" w:fill="auto"/>
          <w:lang w:eastAsia="zh-CN"/>
        </w:rPr>
        <w:t>退还</w:t>
      </w:r>
      <w:r>
        <w:rPr>
          <w:rFonts w:hint="eastAsia" w:ascii="宋体" w:hAnsi="宋体" w:eastAsia="宋体" w:cs="宋体"/>
          <w:color w:val="auto"/>
          <w:sz w:val="24"/>
          <w:highlight w:val="none"/>
          <w:shd w:val="clear" w:color="auto" w:fill="auto"/>
        </w:rPr>
        <w:t>、实施不良行为记录、限制投标、公开曝光及相关的行政处理、处罚。</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三</w:t>
      </w:r>
      <w:r>
        <w:rPr>
          <w:rFonts w:hint="eastAsia" w:ascii="宋体" w:hAnsi="宋体" w:eastAsia="宋体" w:cs="宋体"/>
          <w:color w:val="auto"/>
          <w:sz w:val="24"/>
          <w:highlight w:val="none"/>
          <w:shd w:val="clear" w:color="auto" w:fill="auto"/>
          <w:lang w:eastAsia="zh-CN"/>
        </w:rPr>
        <w:t>、我单位在安徽省公共资源交易市场主体库中录入的信息真实，未编造虚假信息。否则，引起的一切后果由我单位自行承担并接受有关规定处理。</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eastAsia="zh-CN"/>
        </w:rPr>
        <w:t>四</w:t>
      </w:r>
      <w:r>
        <w:rPr>
          <w:rFonts w:hint="eastAsia" w:ascii="宋体" w:hAnsi="宋体" w:eastAsia="宋体" w:cs="宋体"/>
          <w:color w:val="auto"/>
          <w:sz w:val="24"/>
          <w:highlight w:val="none"/>
          <w:shd w:val="clear" w:color="auto" w:fill="auto"/>
        </w:rPr>
        <w:t>、在本项目投标活动中，我公司承诺不存在出借资质给他人投标，与</w:t>
      </w:r>
      <w:r>
        <w:rPr>
          <w:rFonts w:hint="eastAsia" w:ascii="宋体" w:hAnsi="宋体" w:cs="宋体"/>
          <w:color w:val="auto"/>
          <w:sz w:val="24"/>
          <w:highlight w:val="none"/>
          <w:shd w:val="clear" w:color="auto" w:fill="auto"/>
          <w:lang w:eastAsia="zh-CN"/>
        </w:rPr>
        <w:t>采购人</w:t>
      </w:r>
      <w:r>
        <w:rPr>
          <w:rFonts w:hint="eastAsia" w:ascii="宋体" w:hAnsi="宋体" w:eastAsia="宋体" w:cs="宋体"/>
          <w:color w:val="auto"/>
          <w:sz w:val="24"/>
          <w:highlight w:val="none"/>
          <w:shd w:val="clear" w:color="auto" w:fill="auto"/>
        </w:rPr>
        <w:t>、招标代理机构或其他</w:t>
      </w:r>
      <w:r>
        <w:rPr>
          <w:rFonts w:hint="eastAsia" w:ascii="宋体" w:hAnsi="宋体" w:cs="宋体"/>
          <w:color w:val="auto"/>
          <w:sz w:val="24"/>
          <w:highlight w:val="none"/>
          <w:shd w:val="clear" w:color="auto" w:fill="auto"/>
          <w:lang w:eastAsia="zh-CN"/>
        </w:rPr>
        <w:t>谈判响应人</w:t>
      </w:r>
      <w:r>
        <w:rPr>
          <w:rFonts w:hint="eastAsia" w:ascii="宋体" w:hAnsi="宋体" w:eastAsia="宋体" w:cs="宋体"/>
          <w:color w:val="auto"/>
          <w:sz w:val="24"/>
          <w:highlight w:val="none"/>
          <w:shd w:val="clear" w:color="auto" w:fill="auto"/>
        </w:rPr>
        <w:t>串通投标，向</w:t>
      </w:r>
      <w:r>
        <w:rPr>
          <w:rFonts w:hint="eastAsia" w:ascii="宋体" w:hAnsi="宋体" w:cs="宋体"/>
          <w:color w:val="auto"/>
          <w:sz w:val="24"/>
          <w:highlight w:val="none"/>
          <w:shd w:val="clear" w:color="auto" w:fill="auto"/>
          <w:lang w:eastAsia="zh-CN"/>
        </w:rPr>
        <w:t>采购人</w:t>
      </w:r>
      <w:r>
        <w:rPr>
          <w:rFonts w:hint="eastAsia" w:ascii="宋体" w:hAnsi="宋体" w:eastAsia="宋体" w:cs="宋体"/>
          <w:color w:val="auto"/>
          <w:sz w:val="24"/>
          <w:highlight w:val="none"/>
          <w:shd w:val="clear" w:color="auto" w:fill="auto"/>
        </w:rPr>
        <w:t>或</w:t>
      </w:r>
      <w:r>
        <w:rPr>
          <w:rFonts w:hint="eastAsia" w:ascii="宋体" w:hAnsi="宋体" w:cs="宋体"/>
          <w:color w:val="auto"/>
          <w:sz w:val="24"/>
          <w:highlight w:val="none"/>
          <w:shd w:val="clear" w:color="auto" w:fill="auto"/>
          <w:lang w:eastAsia="zh-CN"/>
        </w:rPr>
        <w:t>谈判小组</w:t>
      </w:r>
      <w:r>
        <w:rPr>
          <w:rFonts w:hint="eastAsia" w:ascii="宋体" w:hAnsi="宋体" w:eastAsia="宋体" w:cs="宋体"/>
          <w:color w:val="auto"/>
          <w:sz w:val="24"/>
          <w:highlight w:val="none"/>
          <w:shd w:val="clear" w:color="auto" w:fill="auto"/>
        </w:rPr>
        <w:t>成员行贿牟取中标等违纪违法违规行为。否则，我公司愿意接受</w:t>
      </w:r>
      <w:r>
        <w:rPr>
          <w:rFonts w:hint="eastAsia" w:ascii="宋体" w:hAnsi="宋体" w:cs="宋体"/>
          <w:color w:val="auto"/>
          <w:sz w:val="24"/>
          <w:highlight w:val="none"/>
          <w:shd w:val="clear" w:color="auto" w:fill="auto"/>
          <w:lang w:eastAsia="zh-CN"/>
        </w:rPr>
        <w:t>采购人</w:t>
      </w:r>
      <w:r>
        <w:rPr>
          <w:rFonts w:hint="eastAsia" w:ascii="宋体" w:hAnsi="宋体" w:eastAsia="宋体" w:cs="宋体"/>
          <w:color w:val="auto"/>
          <w:sz w:val="24"/>
          <w:highlight w:val="none"/>
          <w:shd w:val="clear" w:color="auto" w:fill="auto"/>
        </w:rPr>
        <w:t xml:space="preserve">、相关监督部门作出的包括但不限于取消投标（中标）资格、投标保证金不予返还、实施不良行为记录、限制投标、公开曝光及相关的行政处理、处罚。 </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五、若我公司被</w:t>
      </w:r>
      <w:r>
        <w:rPr>
          <w:rFonts w:hint="eastAsia" w:ascii="宋体" w:hAnsi="宋体" w:cs="宋体"/>
          <w:color w:val="auto"/>
          <w:sz w:val="24"/>
          <w:highlight w:val="none"/>
          <w:shd w:val="clear" w:color="auto" w:fill="auto"/>
          <w:lang w:eastAsia="zh-CN"/>
        </w:rPr>
        <w:t>谈判小组</w:t>
      </w:r>
      <w:r>
        <w:rPr>
          <w:rFonts w:hint="eastAsia" w:ascii="宋体" w:hAnsi="宋体" w:eastAsia="宋体" w:cs="宋体"/>
          <w:color w:val="auto"/>
          <w:sz w:val="24"/>
          <w:highlight w:val="none"/>
          <w:shd w:val="clear" w:color="auto" w:fill="auto"/>
        </w:rPr>
        <w:t>确定为</w:t>
      </w:r>
      <w:r>
        <w:rPr>
          <w:rFonts w:hint="eastAsia" w:ascii="宋体" w:hAnsi="宋体" w:cs="宋体"/>
          <w:color w:val="auto"/>
          <w:sz w:val="24"/>
          <w:highlight w:val="none"/>
          <w:shd w:val="clear" w:color="auto" w:fill="auto"/>
          <w:lang w:eastAsia="zh-CN"/>
        </w:rPr>
        <w:t>成交候选人</w:t>
      </w:r>
      <w:r>
        <w:rPr>
          <w:rFonts w:hint="eastAsia" w:ascii="宋体" w:hAnsi="宋体" w:eastAsia="宋体" w:cs="宋体"/>
          <w:color w:val="auto"/>
          <w:sz w:val="24"/>
          <w:highlight w:val="none"/>
          <w:shd w:val="clear" w:color="auto" w:fill="auto"/>
        </w:rPr>
        <w:t>，我公司承诺不无故放弃</w:t>
      </w:r>
      <w:r>
        <w:rPr>
          <w:rFonts w:hint="eastAsia" w:ascii="宋体" w:hAnsi="宋体" w:cs="宋体"/>
          <w:color w:val="auto"/>
          <w:sz w:val="24"/>
          <w:highlight w:val="none"/>
          <w:shd w:val="clear" w:color="auto" w:fill="auto"/>
          <w:lang w:eastAsia="zh-CN"/>
        </w:rPr>
        <w:t>成交候选人</w:t>
      </w:r>
      <w:r>
        <w:rPr>
          <w:rFonts w:hint="eastAsia" w:ascii="宋体" w:hAnsi="宋体" w:eastAsia="宋体" w:cs="宋体"/>
          <w:color w:val="auto"/>
          <w:sz w:val="24"/>
          <w:highlight w:val="none"/>
          <w:shd w:val="clear" w:color="auto" w:fill="auto"/>
        </w:rPr>
        <w:t>及中标资格，将在</w:t>
      </w:r>
      <w:r>
        <w:rPr>
          <w:rFonts w:hint="eastAsia" w:ascii="宋体" w:hAnsi="宋体" w:cs="宋体"/>
          <w:color w:val="auto"/>
          <w:sz w:val="24"/>
          <w:highlight w:val="none"/>
          <w:shd w:val="clear" w:color="auto" w:fill="auto"/>
          <w:lang w:eastAsia="zh-CN"/>
        </w:rPr>
        <w:t>竞争性谈判文件</w:t>
      </w:r>
      <w:r>
        <w:rPr>
          <w:rFonts w:hint="eastAsia" w:ascii="宋体" w:hAnsi="宋体" w:eastAsia="宋体" w:cs="宋体"/>
          <w:color w:val="auto"/>
          <w:sz w:val="24"/>
          <w:highlight w:val="none"/>
          <w:shd w:val="clear" w:color="auto" w:fill="auto"/>
        </w:rPr>
        <w:t>约定的时间内缴纳</w:t>
      </w:r>
      <w:r>
        <w:rPr>
          <w:rFonts w:hint="eastAsia" w:ascii="宋体" w:hAnsi="宋体" w:cs="宋体"/>
          <w:color w:val="auto"/>
          <w:sz w:val="24"/>
          <w:highlight w:val="none"/>
          <w:shd w:val="clear" w:color="auto" w:fill="auto"/>
          <w:lang w:eastAsia="zh-CN"/>
        </w:rPr>
        <w:t>竞争性谈判文件</w:t>
      </w:r>
      <w:r>
        <w:rPr>
          <w:rFonts w:hint="eastAsia" w:ascii="宋体" w:hAnsi="宋体" w:eastAsia="宋体" w:cs="宋体"/>
          <w:color w:val="auto"/>
          <w:sz w:val="24"/>
          <w:highlight w:val="none"/>
          <w:shd w:val="clear" w:color="auto" w:fill="auto"/>
        </w:rPr>
        <w:t>约定的履约担保及相关费用，并与</w:t>
      </w:r>
      <w:r>
        <w:rPr>
          <w:rFonts w:hint="eastAsia" w:ascii="宋体" w:hAnsi="宋体" w:cs="宋体"/>
          <w:color w:val="auto"/>
          <w:sz w:val="24"/>
          <w:highlight w:val="none"/>
          <w:shd w:val="clear" w:color="auto" w:fill="auto"/>
          <w:lang w:eastAsia="zh-CN"/>
        </w:rPr>
        <w:t>采购人</w:t>
      </w:r>
      <w:r>
        <w:rPr>
          <w:rFonts w:hint="eastAsia" w:ascii="宋体" w:hAnsi="宋体" w:eastAsia="宋体" w:cs="宋体"/>
          <w:color w:val="auto"/>
          <w:sz w:val="24"/>
          <w:highlight w:val="none"/>
          <w:shd w:val="clear" w:color="auto" w:fill="auto"/>
        </w:rPr>
        <w:t>在规定的时间内签订合同。否则，我公司愿意接受</w:t>
      </w:r>
      <w:r>
        <w:rPr>
          <w:rFonts w:hint="eastAsia" w:ascii="宋体" w:hAnsi="宋体" w:cs="宋体"/>
          <w:color w:val="auto"/>
          <w:sz w:val="24"/>
          <w:highlight w:val="none"/>
          <w:shd w:val="clear" w:color="auto" w:fill="auto"/>
          <w:lang w:eastAsia="zh-CN"/>
        </w:rPr>
        <w:t>采购人</w:t>
      </w:r>
      <w:r>
        <w:rPr>
          <w:rFonts w:hint="eastAsia" w:ascii="宋体" w:hAnsi="宋体" w:eastAsia="宋体" w:cs="宋体"/>
          <w:color w:val="auto"/>
          <w:sz w:val="24"/>
          <w:highlight w:val="none"/>
          <w:shd w:val="clear" w:color="auto" w:fill="auto"/>
        </w:rPr>
        <w:t xml:space="preserve">、相关监管部门作出的包括但不限于取消投标（中标）资格、投标保证金不予返还、实施不良行为记录、限制投标、公开曝光及相关的行政处理、处罚。 </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六、若我公司中标，在履约过程中，经相关监管部门查实，我公司在中标项目交易过程中存在挂靠投标、围标串标、提供虚假资料、弄虚作假、行贿等骗取中标等违法违规及违反</w:t>
      </w:r>
      <w:r>
        <w:rPr>
          <w:rFonts w:hint="eastAsia" w:ascii="宋体" w:hAnsi="宋体" w:cs="宋体"/>
          <w:color w:val="auto"/>
          <w:sz w:val="24"/>
          <w:highlight w:val="none"/>
          <w:shd w:val="clear" w:color="auto" w:fill="auto"/>
          <w:lang w:eastAsia="zh-CN"/>
        </w:rPr>
        <w:t>竞争性谈判文件</w:t>
      </w:r>
      <w:r>
        <w:rPr>
          <w:rFonts w:hint="eastAsia" w:ascii="宋体" w:hAnsi="宋体" w:eastAsia="宋体" w:cs="宋体"/>
          <w:color w:val="auto"/>
          <w:sz w:val="24"/>
          <w:highlight w:val="none"/>
          <w:shd w:val="clear" w:color="auto" w:fill="auto"/>
        </w:rPr>
        <w:t>约定的行为，我公司愿意接受</w:t>
      </w:r>
      <w:r>
        <w:rPr>
          <w:rFonts w:hint="eastAsia" w:ascii="宋体" w:hAnsi="宋体" w:cs="宋体"/>
          <w:color w:val="auto"/>
          <w:sz w:val="24"/>
          <w:highlight w:val="none"/>
          <w:shd w:val="clear" w:color="auto" w:fill="auto"/>
          <w:lang w:eastAsia="zh-CN"/>
        </w:rPr>
        <w:t>采购人</w:t>
      </w:r>
      <w:r>
        <w:rPr>
          <w:rFonts w:hint="eastAsia" w:ascii="宋体" w:hAnsi="宋体" w:eastAsia="宋体" w:cs="宋体"/>
          <w:color w:val="auto"/>
          <w:sz w:val="24"/>
          <w:highlight w:val="none"/>
          <w:shd w:val="clear" w:color="auto" w:fill="auto"/>
        </w:rPr>
        <w:t xml:space="preserve">、相关监督部门作出的包括在我公司提交的履约保证金中扣除等额投标保证不予返还等相关处理、处罚。 </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七、如我公司中标，我公司在投标时拟派的项目管理人员能全部到岗到位，服从建设和监理单位的管理，遵守施工现场考勤纪律。并保证按照</w:t>
      </w:r>
      <w:r>
        <w:rPr>
          <w:rFonts w:hint="eastAsia" w:ascii="宋体" w:hAnsi="宋体" w:cs="宋体"/>
          <w:color w:val="auto"/>
          <w:sz w:val="24"/>
          <w:highlight w:val="none"/>
          <w:shd w:val="clear" w:color="auto" w:fill="auto"/>
          <w:lang w:eastAsia="zh-CN"/>
        </w:rPr>
        <w:t>谈判响应文件</w:t>
      </w:r>
      <w:r>
        <w:rPr>
          <w:rFonts w:hint="eastAsia" w:ascii="宋体" w:hAnsi="宋体" w:eastAsia="宋体" w:cs="宋体"/>
          <w:color w:val="auto"/>
          <w:sz w:val="24"/>
          <w:highlight w:val="none"/>
          <w:shd w:val="clear" w:color="auto" w:fill="auto"/>
        </w:rPr>
        <w:t>的承诺投入足够的机械设备，组织一定额度的流动资金，确保机械设备和流动资金完全满足项目施工进度要求。</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八、如我公司中标，我公司保证中标后不非法转包及分包，若有合法分包须征得建设及监理单位同意。保证工程质量达到合同约定标准，保证按合同约定工期完成工程施工。</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九、我公司承诺，在本项目招投标活动中不恶意投诉。如发生投诉，我公司将严格按照《工程建设项目招标投标活动投诉处理办法》（七部委11号令）及《安庆市公共资源交易投诉处理暂行办法》的规定进行，并对提供的投诉事项和线索证据的真实性负责。 </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十、我公司承诺，在本项目的招投标及履约过程中，完全响应并认可</w:t>
      </w:r>
      <w:r>
        <w:rPr>
          <w:rFonts w:hint="eastAsia" w:ascii="宋体" w:hAnsi="宋体" w:cs="宋体"/>
          <w:color w:val="auto"/>
          <w:sz w:val="24"/>
          <w:highlight w:val="none"/>
          <w:shd w:val="clear" w:color="auto" w:fill="auto"/>
          <w:lang w:eastAsia="zh-CN"/>
        </w:rPr>
        <w:t>竞争性谈判文件</w:t>
      </w:r>
      <w:r>
        <w:rPr>
          <w:rFonts w:hint="eastAsia" w:ascii="宋体" w:hAnsi="宋体" w:eastAsia="宋体" w:cs="宋体"/>
          <w:color w:val="auto"/>
          <w:sz w:val="24"/>
          <w:highlight w:val="none"/>
          <w:shd w:val="clear" w:color="auto" w:fill="auto"/>
        </w:rPr>
        <w:t>（含文件答疑及补充），全面履行合同条款，若有违反，愿意接受</w:t>
      </w:r>
      <w:r>
        <w:rPr>
          <w:rFonts w:hint="eastAsia" w:ascii="宋体" w:hAnsi="宋体" w:cs="宋体"/>
          <w:color w:val="auto"/>
          <w:sz w:val="24"/>
          <w:highlight w:val="none"/>
          <w:shd w:val="clear" w:color="auto" w:fill="auto"/>
          <w:lang w:eastAsia="zh-CN"/>
        </w:rPr>
        <w:t>竞争性谈判文件</w:t>
      </w:r>
      <w:r>
        <w:rPr>
          <w:rFonts w:hint="eastAsia" w:ascii="宋体" w:hAnsi="宋体" w:eastAsia="宋体" w:cs="宋体"/>
          <w:color w:val="auto"/>
          <w:sz w:val="24"/>
          <w:highlight w:val="none"/>
          <w:shd w:val="clear" w:color="auto" w:fill="auto"/>
        </w:rPr>
        <w:t>及合同约定的所有处理、处罚，造成经济损失的，愿意赔偿相关经济损失。</w:t>
      </w:r>
    </w:p>
    <w:p>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auto"/>
        </w:rPr>
        <w:t>十一、我公司承诺，在本项目交易及履约过程中，若存在其他扰乱公共资源交易市场秩序的行为，愿意接受相关法律、法规、规章制度及</w:t>
      </w:r>
      <w:r>
        <w:rPr>
          <w:rFonts w:hint="eastAsia" w:ascii="宋体" w:hAnsi="宋体" w:cs="宋体"/>
          <w:color w:val="auto"/>
          <w:sz w:val="24"/>
          <w:highlight w:val="none"/>
          <w:shd w:val="clear" w:color="auto" w:fill="auto"/>
          <w:lang w:eastAsia="zh-CN"/>
        </w:rPr>
        <w:t>竞争性谈判文件</w:t>
      </w:r>
      <w:r>
        <w:rPr>
          <w:rFonts w:hint="eastAsia" w:ascii="宋体" w:hAnsi="宋体" w:eastAsia="宋体" w:cs="宋体"/>
          <w:color w:val="auto"/>
          <w:sz w:val="24"/>
          <w:highlight w:val="none"/>
          <w:shd w:val="clear" w:color="auto" w:fill="auto"/>
        </w:rPr>
        <w:t>约定的处理、处罚。</w:t>
      </w:r>
    </w:p>
    <w:p>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80" w:firstLineChars="200"/>
        <w:jc w:val="center"/>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谈判响应人</w:t>
      </w:r>
      <w:r>
        <w:rPr>
          <w:rFonts w:hint="eastAsia" w:ascii="宋体" w:hAnsi="宋体" w:eastAsia="宋体" w:cs="宋体"/>
          <w:color w:val="auto"/>
          <w:sz w:val="24"/>
          <w:highlight w:val="none"/>
        </w:rPr>
        <w:t>（公章）：</w:t>
      </w:r>
    </w:p>
    <w:p>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80" w:firstLineChars="20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80" w:firstLineChars="200"/>
        <w:jc w:val="righ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日期：_____年____月____日</w:t>
      </w:r>
    </w:p>
    <w:p>
      <w:pPr>
        <w:keepNext w:val="0"/>
        <w:keepLines w:val="0"/>
        <w:pageBreakBefore w:val="0"/>
        <w:widowControl w:val="0"/>
        <w:kinsoku/>
        <w:wordWrap/>
        <w:overflowPunct/>
        <w:topLinePunct w:val="0"/>
        <w:autoSpaceDE/>
        <w:autoSpaceDN/>
        <w:bidi w:val="0"/>
        <w:spacing w:beforeAutospacing="0" w:afterAutospacing="0" w:line="240" w:lineRule="auto"/>
        <w:ind w:left="0" w:leftChars="0" w:right="0" w:rightChars="0" w:firstLine="480" w:firstLineChars="200"/>
        <w:jc w:val="right"/>
        <w:textAlignment w:val="auto"/>
        <w:outlineLvl w:val="9"/>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spacing w:beforeAutospacing="0" w:afterAutospacing="0" w:line="240" w:lineRule="auto"/>
        <w:ind w:left="0" w:leftChars="0" w:right="0" w:rightChars="0" w:firstLine="480" w:firstLineChars="200"/>
        <w:jc w:val="right"/>
        <w:textAlignment w:val="auto"/>
        <w:outlineLvl w:val="9"/>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spacing w:beforeAutospacing="0" w:afterAutospacing="0" w:line="240" w:lineRule="auto"/>
        <w:ind w:left="0" w:leftChars="0" w:right="0" w:rightChars="0" w:firstLine="480" w:firstLineChars="200"/>
        <w:jc w:val="right"/>
        <w:textAlignment w:val="auto"/>
        <w:outlineLvl w:val="9"/>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spacing w:beforeAutospacing="0" w:afterAutospacing="0" w:line="240" w:lineRule="auto"/>
        <w:ind w:left="0" w:leftChars="0" w:right="0" w:rightChars="0" w:firstLine="480" w:firstLineChars="200"/>
        <w:jc w:val="right"/>
        <w:textAlignment w:val="auto"/>
        <w:outlineLvl w:val="9"/>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spacing w:beforeAutospacing="0" w:afterAutospacing="0" w:line="240" w:lineRule="auto"/>
        <w:ind w:left="0" w:leftChars="0" w:right="0" w:rightChars="0" w:firstLine="480" w:firstLineChars="200"/>
        <w:jc w:val="right"/>
        <w:textAlignment w:val="auto"/>
        <w:outlineLvl w:val="9"/>
        <w:rPr>
          <w:rFonts w:hint="eastAsia" w:ascii="宋体" w:hAnsi="宋体" w:eastAsia="宋体" w:cs="宋体"/>
          <w:color w:val="auto"/>
          <w:sz w:val="24"/>
          <w:highlight w:val="none"/>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b/>
          <w:color w:val="auto"/>
          <w:sz w:val="36"/>
          <w:szCs w:val="28"/>
          <w:highlight w:val="none"/>
          <w:lang w:val="en-US" w:eastAsia="zh-CN"/>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b/>
          <w:color w:val="auto"/>
          <w:sz w:val="36"/>
          <w:szCs w:val="28"/>
          <w:highlight w:val="none"/>
          <w:lang w:val="en-US" w:eastAsia="zh-CN"/>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b/>
          <w:color w:val="auto"/>
          <w:sz w:val="36"/>
          <w:szCs w:val="28"/>
          <w:highlight w:val="none"/>
          <w:lang w:val="en-US" w:eastAsia="zh-CN"/>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b/>
          <w:color w:val="auto"/>
          <w:sz w:val="36"/>
          <w:szCs w:val="28"/>
          <w:highlight w:val="none"/>
          <w:lang w:val="en-US" w:eastAsia="zh-CN"/>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b/>
          <w:color w:val="auto"/>
          <w:sz w:val="36"/>
          <w:szCs w:val="28"/>
          <w:highlight w:val="none"/>
          <w:lang w:val="en-US" w:eastAsia="zh-CN"/>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b/>
          <w:color w:val="auto"/>
          <w:sz w:val="36"/>
          <w:szCs w:val="28"/>
          <w:highlight w:val="none"/>
          <w:lang w:val="en-US" w:eastAsia="zh-CN"/>
        </w:rPr>
      </w:pPr>
    </w:p>
    <w:p>
      <w:pPr>
        <w:pStyle w:val="4"/>
        <w:pageBreakBefore w:val="0"/>
        <w:kinsoku/>
        <w:wordWrap/>
        <w:overflowPunct/>
        <w:topLinePunct w:val="0"/>
        <w:bidi w:val="0"/>
        <w:spacing w:line="240" w:lineRule="auto"/>
        <w:rPr>
          <w:rFonts w:hint="default"/>
          <w:color w:val="auto"/>
          <w:highlight w:val="none"/>
          <w:lang w:val="en-US" w:eastAsia="zh-CN"/>
        </w:rPr>
      </w:pPr>
      <w:r>
        <w:rPr>
          <w:rFonts w:hint="eastAsia"/>
          <w:color w:val="auto"/>
          <w:highlight w:val="none"/>
          <w:lang w:val="en-US" w:eastAsia="zh-CN"/>
        </w:rPr>
        <w:t>（三）中小微企业等声明函</w:t>
      </w:r>
      <w:r>
        <w:rPr>
          <w:rFonts w:hint="eastAsia"/>
          <w:color w:val="auto"/>
          <w:sz w:val="30"/>
          <w:szCs w:val="30"/>
          <w:highlight w:val="none"/>
          <w:lang w:val="en-US" w:eastAsia="zh-CN"/>
        </w:rPr>
        <w:t>（本项目必须提供）</w:t>
      </w:r>
    </w:p>
    <w:p>
      <w:pPr>
        <w:pStyle w:val="4"/>
        <w:pageBreakBefore w:val="0"/>
        <w:kinsoku/>
        <w:wordWrap/>
        <w:overflowPunct/>
        <w:topLinePunct w:val="0"/>
        <w:bidi w:val="0"/>
        <w:spacing w:line="240" w:lineRule="auto"/>
        <w:rPr>
          <w:rFonts w:hint="eastAsia"/>
          <w:color w:val="auto"/>
          <w:highlight w:val="none"/>
        </w:rPr>
      </w:pPr>
      <w:r>
        <w:rPr>
          <w:rFonts w:hint="eastAsia"/>
          <w:color w:val="auto"/>
          <w:highlight w:val="none"/>
        </w:rPr>
        <w:t>中小企业声明函(</w:t>
      </w:r>
      <w:r>
        <w:rPr>
          <w:rFonts w:hint="eastAsia"/>
          <w:color w:val="auto"/>
          <w:highlight w:val="none"/>
          <w:lang w:val="en-US" w:eastAsia="zh-CN"/>
        </w:rPr>
        <w:t>工程</w:t>
      </w:r>
      <w:r>
        <w:rPr>
          <w:rFonts w:hint="eastAsia"/>
          <w:color w:val="auto"/>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本公司（联合体）郑重声明，根据《政府采购促进中小企业发展管理办法》(财库﹝2020﹞46号）的规定，本公司（联合体）参加</w:t>
      </w:r>
      <w:r>
        <w:rPr>
          <w:rFonts w:hint="eastAsia" w:cs="Times New Roman"/>
          <w:b w:val="0"/>
          <w:bCs w:val="0"/>
          <w:color w:val="auto"/>
          <w:kern w:val="2"/>
          <w:sz w:val="24"/>
          <w:szCs w:val="24"/>
          <w:highlight w:val="none"/>
          <w:u w:val="single"/>
          <w:lang w:val="en-US" w:eastAsia="zh-CN" w:bidi="ar-SA"/>
        </w:rPr>
        <w:t>安庆职业技术学院</w:t>
      </w:r>
      <w:r>
        <w:rPr>
          <w:rFonts w:hint="eastAsia" w:ascii="Times New Roman" w:hAnsi="Times New Roman" w:eastAsia="宋体" w:cs="Times New Roman"/>
          <w:b w:val="0"/>
          <w:bCs w:val="0"/>
          <w:color w:val="auto"/>
          <w:kern w:val="2"/>
          <w:sz w:val="24"/>
          <w:szCs w:val="24"/>
          <w:highlight w:val="none"/>
          <w:lang w:val="en-US" w:eastAsia="zh-CN" w:bidi="ar-SA"/>
        </w:rPr>
        <w:t>的</w:t>
      </w:r>
      <w:r>
        <w:rPr>
          <w:rFonts w:hint="eastAsia" w:cs="Times New Roman"/>
          <w:b w:val="0"/>
          <w:bCs w:val="0"/>
          <w:color w:val="auto"/>
          <w:kern w:val="2"/>
          <w:sz w:val="24"/>
          <w:szCs w:val="24"/>
          <w:highlight w:val="none"/>
          <w:u w:val="single"/>
          <w:lang w:val="en-US" w:eastAsia="zh-CN" w:bidi="ar-SA"/>
        </w:rPr>
        <w:t>安庆职业技术学院“两站两服务”平台暨青年之家装饰工程</w:t>
      </w:r>
      <w:r>
        <w:rPr>
          <w:rFonts w:hint="eastAsia" w:ascii="Times New Roman" w:hAnsi="Times New Roman" w:eastAsia="宋体" w:cs="Times New Roman"/>
          <w:b w:val="0"/>
          <w:bCs w:val="0"/>
          <w:color w:val="auto"/>
          <w:kern w:val="2"/>
          <w:sz w:val="24"/>
          <w:szCs w:val="24"/>
          <w:highlight w:val="none"/>
          <w:lang w:val="en-US" w:eastAsia="zh-CN" w:bidi="ar-SA"/>
        </w:rPr>
        <w:t>招标活动，工程的施工单位全部为符合政策要求的中小企业承接。相关企业(含联合体中的中小企业、签订分包意向协议的中小企业)的具体情况如下: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u w:val="single"/>
          <w:lang w:val="en-US" w:eastAsia="zh-CN" w:bidi="ar-SA"/>
        </w:rPr>
        <w:t>安庆职业技术学院“两站两服务”平台暨青年之家装饰工程</w:t>
      </w:r>
      <w:r>
        <w:rPr>
          <w:rFonts w:hint="eastAsia" w:ascii="Times New Roman" w:hAnsi="Times New Roman" w:eastAsia="宋体" w:cs="Times New Roman"/>
          <w:b w:val="0"/>
          <w:bCs w:val="0"/>
          <w:color w:val="auto"/>
          <w:kern w:val="2"/>
          <w:sz w:val="24"/>
          <w:szCs w:val="24"/>
          <w:highlight w:val="none"/>
          <w:lang w:val="en-US" w:eastAsia="zh-CN" w:bidi="ar-SA"/>
        </w:rPr>
        <w:t>，属于</w:t>
      </w:r>
      <w:r>
        <w:rPr>
          <w:rFonts w:hint="eastAsia" w:ascii="Times New Roman" w:hAnsi="Times New Roman" w:eastAsia="宋体" w:cs="Times New Roman"/>
          <w:b w:val="0"/>
          <w:bCs w:val="0"/>
          <w:color w:val="auto"/>
          <w:kern w:val="2"/>
          <w:sz w:val="24"/>
          <w:szCs w:val="24"/>
          <w:highlight w:val="none"/>
          <w:u w:val="single"/>
          <w:lang w:val="en-US" w:eastAsia="zh-CN" w:bidi="ar-SA"/>
        </w:rPr>
        <w:t xml:space="preserve"> </w:t>
      </w:r>
      <w:r>
        <w:rPr>
          <w:rFonts w:hint="eastAsia" w:cs="Times New Roman"/>
          <w:b w:val="0"/>
          <w:bCs w:val="0"/>
          <w:color w:val="auto"/>
          <w:kern w:val="2"/>
          <w:sz w:val="24"/>
          <w:szCs w:val="24"/>
          <w:highlight w:val="none"/>
          <w:u w:val="single"/>
          <w:lang w:val="en-US" w:eastAsia="zh-CN" w:bidi="ar-SA"/>
        </w:rPr>
        <w:t>建筑业</w:t>
      </w:r>
      <w:r>
        <w:rPr>
          <w:rFonts w:hint="eastAsia" w:ascii="Times New Roman" w:hAnsi="Times New Roman" w:eastAsia="宋体" w:cs="Times New Roman"/>
          <w:b w:val="0"/>
          <w:bCs w:val="0"/>
          <w:color w:val="auto"/>
          <w:kern w:val="2"/>
          <w:sz w:val="24"/>
          <w:szCs w:val="24"/>
          <w:highlight w:val="none"/>
          <w:u w:val="single"/>
          <w:lang w:val="en-US" w:eastAsia="zh-CN" w:bidi="ar-SA"/>
        </w:rPr>
        <w:t xml:space="preserve"> </w:t>
      </w:r>
      <w:r>
        <w:rPr>
          <w:rFonts w:hint="eastAsia" w:ascii="Times New Roman" w:hAnsi="Times New Roman" w:eastAsia="宋体" w:cs="Times New Roman"/>
          <w:b w:val="0"/>
          <w:bCs w:val="0"/>
          <w:color w:val="auto"/>
          <w:kern w:val="2"/>
          <w:sz w:val="24"/>
          <w:szCs w:val="24"/>
          <w:highlight w:val="none"/>
          <w:lang w:val="en-US" w:eastAsia="zh-CN" w:bidi="ar-SA"/>
        </w:rPr>
        <w:t>；承建企业为</w:t>
      </w:r>
      <w:r>
        <w:rPr>
          <w:rFonts w:hint="eastAsia" w:ascii="Times New Roman" w:hAnsi="Times New Roman" w:eastAsia="宋体" w:cs="Times New Roman"/>
          <w:b w:val="0"/>
          <w:bCs w:val="0"/>
          <w:color w:val="auto"/>
          <w:kern w:val="2"/>
          <w:sz w:val="24"/>
          <w:szCs w:val="24"/>
          <w:highlight w:val="none"/>
          <w:u w:val="single"/>
          <w:lang w:val="en-US" w:eastAsia="zh-CN" w:bidi="ar-SA"/>
        </w:rPr>
        <w:t xml:space="preserve">（企业名称) </w:t>
      </w:r>
      <w:r>
        <w:rPr>
          <w:rFonts w:hint="eastAsia" w:ascii="Times New Roman" w:hAnsi="Times New Roman" w:eastAsia="宋体" w:cs="Times New Roman"/>
          <w:b w:val="0"/>
          <w:bCs w:val="0"/>
          <w:color w:val="auto"/>
          <w:kern w:val="2"/>
          <w:sz w:val="24"/>
          <w:szCs w:val="24"/>
          <w:highlight w:val="none"/>
          <w:lang w:val="en-US" w:eastAsia="zh-CN" w:bidi="ar-SA"/>
        </w:rPr>
        <w:t>，从业人员_____人，营业收入为______万元，资产总额为_____万元，属于</w:t>
      </w:r>
      <w:r>
        <w:rPr>
          <w:rFonts w:hint="eastAsia" w:ascii="Times New Roman" w:hAnsi="Times New Roman" w:eastAsia="宋体" w:cs="Times New Roman"/>
          <w:b w:val="0"/>
          <w:bCs w:val="0"/>
          <w:color w:val="auto"/>
          <w:kern w:val="2"/>
          <w:sz w:val="24"/>
          <w:szCs w:val="24"/>
          <w:highlight w:val="none"/>
          <w:u w:val="single"/>
          <w:lang w:val="en-US" w:eastAsia="zh-CN" w:bidi="ar-SA"/>
        </w:rPr>
        <w:t>（中型企业、小型企业、微型企业)</w:t>
      </w:r>
      <w:r>
        <w:rPr>
          <w:rFonts w:hint="eastAsia" w:cs="Times New Roman"/>
          <w:b w:val="0"/>
          <w:bCs w:val="0"/>
          <w:color w:val="auto"/>
          <w:kern w:val="2"/>
          <w:sz w:val="24"/>
          <w:szCs w:val="24"/>
          <w:highlight w:val="none"/>
          <w:u w:val="single"/>
          <w:lang w:val="en-US" w:eastAsia="zh-CN" w:bidi="ar-SA"/>
        </w:rPr>
        <w:t xml:space="preserve"> </w:t>
      </w:r>
      <w:r>
        <w:rPr>
          <w:rFonts w:hint="eastAsia" w:ascii="Times New Roman" w:hAnsi="Times New Roman" w:eastAsia="宋体" w:cs="Times New Roman"/>
          <w:b w:val="0"/>
          <w:bCs w:val="0"/>
          <w:color w:val="auto"/>
          <w:kern w:val="2"/>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本企业对上述声明内容的真实性负责。如有虚假，将依法承担相应责任。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040" w:firstLineChars="210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企业名称（盖章)：</w:t>
      </w:r>
      <w:r>
        <w:rPr>
          <w:rFonts w:hint="eastAsia" w:ascii="Times New Roman" w:hAnsi="Times New Roman" w:eastAsia="宋体" w:cs="Times New Roman"/>
          <w:b w:val="0"/>
          <w:bCs w:val="0"/>
          <w:color w:val="auto"/>
          <w:kern w:val="2"/>
          <w:sz w:val="24"/>
          <w:szCs w:val="24"/>
          <w:highlight w:val="none"/>
          <w:u w:val="singl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 xml:space="preserve">                                      日期:______________</w:t>
      </w:r>
    </w:p>
    <w:p>
      <w:pPr>
        <w:pStyle w:val="49"/>
        <w:rPr>
          <w:rFonts w:hint="eastAsia"/>
          <w:color w:val="auto"/>
          <w:highlight w:val="none"/>
          <w:lang w:val="en-US" w:eastAsia="zh-CN"/>
        </w:rPr>
      </w:pPr>
    </w:p>
    <w:p>
      <w:pPr>
        <w:pageBreakBefore w:val="0"/>
        <w:kinsoku/>
        <w:wordWrap/>
        <w:overflowPunct/>
        <w:topLinePunct w:val="0"/>
        <w:autoSpaceDE/>
        <w:autoSpaceDN/>
        <w:bidi w:val="0"/>
        <w:adjustRightInd/>
        <w:snapToGrid/>
        <w:textAlignment w:val="auto"/>
        <w:rPr>
          <w:b/>
          <w:color w:val="auto"/>
          <w:sz w:val="24"/>
          <w:highlight w:val="none"/>
        </w:rPr>
      </w:pPr>
      <w:r>
        <w:rPr>
          <w:rFonts w:hint="eastAsia"/>
          <w:b/>
          <w:color w:val="auto"/>
          <w:sz w:val="24"/>
          <w:highlight w:val="none"/>
        </w:rPr>
        <w:t>说明：</w:t>
      </w:r>
      <w:r>
        <w:rPr>
          <w:rFonts w:hint="eastAsia"/>
          <w:b/>
          <w:color w:val="auto"/>
          <w:sz w:val="24"/>
          <w:highlight w:val="none"/>
          <w:lang w:val="en-US" w:eastAsia="zh-CN"/>
        </w:rPr>
        <w:t>1、</w:t>
      </w:r>
      <w:r>
        <w:rPr>
          <w:b/>
          <w:color w:val="auto"/>
          <w:sz w:val="24"/>
          <w:highlight w:val="none"/>
        </w:rPr>
        <w:t>从业人员、营业收入、资产总额填报上一年度数据，无上一年度数据的新成立企业可不填报。</w:t>
      </w:r>
    </w:p>
    <w:p>
      <w:pPr>
        <w:pageBreakBefore w:val="0"/>
        <w:numPr>
          <w:ilvl w:val="0"/>
          <w:numId w:val="8"/>
        </w:numPr>
        <w:kinsoku/>
        <w:wordWrap/>
        <w:overflowPunct/>
        <w:topLinePunct w:val="0"/>
        <w:autoSpaceDE/>
        <w:autoSpaceDN/>
        <w:bidi w:val="0"/>
        <w:adjustRightInd/>
        <w:snapToGrid/>
        <w:ind w:firstLine="723" w:firstLineChars="300"/>
        <w:textAlignment w:val="auto"/>
        <w:rPr>
          <w:rFonts w:hint="eastAsia" w:ascii="Times New Roman" w:hAnsi="Times New Roman" w:eastAsia="宋体"/>
          <w:b/>
          <w:color w:val="auto"/>
          <w:kern w:val="2"/>
          <w:sz w:val="24"/>
          <w:szCs w:val="24"/>
          <w:highlight w:val="none"/>
          <w:lang w:val="en-US" w:eastAsia="zh-CN" w:bidi="ar-SA"/>
        </w:rPr>
      </w:pPr>
      <w:r>
        <w:rPr>
          <w:rFonts w:hint="eastAsia" w:ascii="Times New Roman" w:hAnsi="Times New Roman" w:eastAsia="宋体"/>
          <w:b/>
          <w:color w:val="auto"/>
          <w:kern w:val="2"/>
          <w:sz w:val="24"/>
          <w:szCs w:val="24"/>
          <w:highlight w:val="none"/>
          <w:lang w:val="en-US" w:eastAsia="zh-CN" w:bidi="ar-SA"/>
        </w:rPr>
        <w:t>本项目为</w:t>
      </w:r>
      <w:r>
        <w:rPr>
          <w:rFonts w:hint="eastAsia"/>
          <w:b/>
          <w:color w:val="auto"/>
          <w:kern w:val="2"/>
          <w:sz w:val="24"/>
          <w:szCs w:val="24"/>
          <w:highlight w:val="none"/>
          <w:lang w:val="en-US" w:eastAsia="zh-CN" w:bidi="ar-SA"/>
        </w:rPr>
        <w:t>建筑业</w:t>
      </w:r>
      <w:r>
        <w:rPr>
          <w:rFonts w:hint="eastAsia" w:ascii="Times New Roman" w:hAnsi="Times New Roman" w:eastAsia="宋体"/>
          <w:b/>
          <w:color w:val="auto"/>
          <w:kern w:val="2"/>
          <w:sz w:val="24"/>
          <w:szCs w:val="24"/>
          <w:highlight w:val="none"/>
          <w:lang w:val="en-US" w:eastAsia="zh-CN" w:bidi="ar-SA"/>
        </w:rPr>
        <w:t>。划分标准：营业收入80000万元以下或资产总额80000万元以下的为中小微型企业。其中，营业收入 6000万元及以上，且资产总额5000万元及以上的为中型企业；营业收入300万元及以上，且资产总额300万元及 以上的为小型企业；营业收入300万元以下或资产总额300万元以下的为微型企业。</w:t>
      </w:r>
    </w:p>
    <w:p>
      <w:pPr>
        <w:pageBreakBefore w:val="0"/>
        <w:numPr>
          <w:ilvl w:val="0"/>
          <w:numId w:val="0"/>
        </w:numPr>
        <w:kinsoku/>
        <w:wordWrap/>
        <w:overflowPunct/>
        <w:topLinePunct w:val="0"/>
        <w:autoSpaceDE/>
        <w:autoSpaceDN/>
        <w:bidi w:val="0"/>
        <w:adjustRightInd/>
        <w:snapToGrid/>
        <w:jc w:val="center"/>
        <w:textAlignment w:val="auto"/>
        <w:rPr>
          <w:b/>
          <w:color w:val="auto"/>
          <w:kern w:val="0"/>
          <w:sz w:val="32"/>
          <w:szCs w:val="20"/>
          <w:highlight w:val="none"/>
          <w:lang w:val="en-US" w:eastAsia="zh-CN" w:bidi="ar-SA"/>
        </w:rPr>
      </w:pPr>
    </w:p>
    <w:p>
      <w:pPr>
        <w:pStyle w:val="10"/>
        <w:rPr>
          <w:b/>
          <w:color w:val="auto"/>
          <w:kern w:val="0"/>
          <w:sz w:val="32"/>
          <w:szCs w:val="20"/>
          <w:highlight w:val="none"/>
          <w:lang w:val="en-US" w:eastAsia="zh-CN" w:bidi="ar-SA"/>
        </w:rPr>
      </w:pPr>
    </w:p>
    <w:p>
      <w:pPr>
        <w:pStyle w:val="10"/>
        <w:rPr>
          <w:b/>
          <w:color w:val="auto"/>
          <w:kern w:val="0"/>
          <w:sz w:val="32"/>
          <w:szCs w:val="20"/>
          <w:highlight w:val="none"/>
          <w:lang w:val="en-US" w:eastAsia="zh-CN" w:bidi="ar-SA"/>
        </w:rPr>
      </w:pPr>
    </w:p>
    <w:p>
      <w:pPr>
        <w:pStyle w:val="10"/>
        <w:rPr>
          <w:b/>
          <w:color w:val="auto"/>
          <w:kern w:val="0"/>
          <w:sz w:val="32"/>
          <w:szCs w:val="20"/>
          <w:highlight w:val="none"/>
          <w:lang w:val="en-US" w:eastAsia="zh-CN" w:bidi="ar-SA"/>
        </w:rPr>
      </w:pPr>
    </w:p>
    <w:p>
      <w:pPr>
        <w:pageBreakBefore w:val="0"/>
        <w:numPr>
          <w:ilvl w:val="0"/>
          <w:numId w:val="0"/>
        </w:numPr>
        <w:kinsoku/>
        <w:wordWrap/>
        <w:overflowPunct/>
        <w:topLinePunct w:val="0"/>
        <w:autoSpaceDE/>
        <w:autoSpaceDN/>
        <w:bidi w:val="0"/>
        <w:adjustRightInd/>
        <w:snapToGrid/>
        <w:jc w:val="center"/>
        <w:textAlignment w:val="auto"/>
        <w:rPr>
          <w:b/>
          <w:color w:val="auto"/>
          <w:kern w:val="0"/>
          <w:sz w:val="32"/>
          <w:szCs w:val="20"/>
          <w:highlight w:val="none"/>
          <w:lang w:val="en-US" w:eastAsia="zh-CN" w:bidi="ar-SA"/>
        </w:rPr>
      </w:pPr>
      <w:r>
        <w:rPr>
          <w:b/>
          <w:color w:val="auto"/>
          <w:kern w:val="0"/>
          <w:sz w:val="32"/>
          <w:szCs w:val="20"/>
          <w:highlight w:val="none"/>
          <w:lang w:val="en-US" w:eastAsia="zh-CN" w:bidi="ar-SA"/>
        </w:rPr>
        <w:t>残疾人福利性单位声明函</w:t>
      </w:r>
    </w:p>
    <w:p>
      <w:pPr>
        <w:spacing w:after="134" w:line="259" w:lineRule="auto"/>
        <w:ind w:left="297" w:hanging="10"/>
        <w:jc w:val="center"/>
        <w:rPr>
          <w:color w:val="auto"/>
          <w:highlight w:val="none"/>
        </w:rPr>
      </w:pPr>
      <w:r>
        <w:rPr>
          <w:color w:val="auto"/>
          <w:sz w:val="25"/>
          <w:highlight w:val="none"/>
        </w:rPr>
        <w:t>（非残疾人福利性单位</w:t>
      </w:r>
      <w:r>
        <w:rPr>
          <w:rFonts w:hint="eastAsia"/>
          <w:color w:val="auto"/>
          <w:sz w:val="25"/>
          <w:highlight w:val="none"/>
        </w:rPr>
        <w:t>谈判</w:t>
      </w:r>
      <w:r>
        <w:rPr>
          <w:color w:val="auto"/>
          <w:sz w:val="25"/>
          <w:highlight w:val="none"/>
        </w:rPr>
        <w:t xml:space="preserve">，不需此件） </w:t>
      </w:r>
      <w:r>
        <w:rPr>
          <w:color w:val="auto"/>
          <w:highlight w:val="none"/>
        </w:rPr>
        <w:t xml:space="preserve"> </w:t>
      </w:r>
    </w:p>
    <w:p>
      <w:pPr>
        <w:autoSpaceDE w:val="0"/>
        <w:autoSpaceDN w:val="0"/>
        <w:spacing w:line="480" w:lineRule="auto"/>
        <w:ind w:left="80" w:leftChars="38" w:right="40" w:firstLine="480" w:firstLineChars="200"/>
        <w:rPr>
          <w:rFonts w:ascii="宋体" w:hAnsi="宋体"/>
          <w:color w:val="auto"/>
          <w:sz w:val="24"/>
          <w:szCs w:val="22"/>
          <w:highlight w:val="none"/>
          <w:lang w:val="zh-CN"/>
        </w:rPr>
      </w:pPr>
      <w:r>
        <w:rPr>
          <w:rFonts w:ascii="宋体" w:hAnsi="宋体"/>
          <w:color w:val="auto"/>
          <w:sz w:val="24"/>
          <w:szCs w:val="22"/>
          <w:highlight w:val="none"/>
          <w:lang w:val="zh-CN"/>
        </w:rPr>
        <w:t>本单位郑重声明，根据《财政部 民政部 中国残疾人联合会关于促进残疾人就业政府采购政策的通知》（财库〔2017〕141号）的规定，本单位为□ 符合□不符合（对应</w:t>
      </w:r>
      <w:r>
        <w:rPr>
          <w:rFonts w:hint="eastAsia" w:ascii="宋体" w:hAnsi="宋体"/>
          <w:color w:val="auto"/>
          <w:sz w:val="24"/>
          <w:szCs w:val="22"/>
          <w:highlight w:val="none"/>
          <w:lang w:val="zh-CN"/>
        </w:rPr>
        <w:t>请</w:t>
      </w:r>
      <w:r>
        <w:rPr>
          <w:rFonts w:ascii="宋体" w:hAnsi="宋体"/>
          <w:color w:val="auto"/>
          <w:sz w:val="24"/>
          <w:szCs w:val="22"/>
          <w:highlight w:val="none"/>
          <w:lang w:val="zh-CN"/>
        </w:rPr>
        <w:t>勾选）条件的残疾人福利性单位，且本单位参加本项目采购活动</w:t>
      </w:r>
      <w:r>
        <w:rPr>
          <w:rFonts w:hint="eastAsia" w:ascii="宋体" w:hAnsi="宋体"/>
          <w:color w:val="auto"/>
          <w:sz w:val="24"/>
          <w:szCs w:val="22"/>
          <w:highlight w:val="none"/>
          <w:lang w:val="zh-CN"/>
        </w:rPr>
        <w:t>，由</w:t>
      </w:r>
      <w:r>
        <w:rPr>
          <w:rFonts w:ascii="宋体" w:hAnsi="宋体"/>
          <w:color w:val="auto"/>
          <w:sz w:val="24"/>
          <w:szCs w:val="22"/>
          <w:highlight w:val="none"/>
          <w:lang w:val="zh-CN"/>
        </w:rPr>
        <w:t>本单位</w:t>
      </w:r>
      <w:r>
        <w:rPr>
          <w:rFonts w:hint="eastAsia" w:ascii="宋体" w:hAnsi="宋体"/>
          <w:color w:val="auto"/>
          <w:sz w:val="24"/>
          <w:szCs w:val="22"/>
          <w:highlight w:val="none"/>
          <w:lang w:val="zh-CN"/>
        </w:rPr>
        <w:t>提供服务。</w:t>
      </w:r>
    </w:p>
    <w:p>
      <w:pPr>
        <w:autoSpaceDE w:val="0"/>
        <w:autoSpaceDN w:val="0"/>
        <w:spacing w:line="480" w:lineRule="auto"/>
        <w:ind w:left="80" w:leftChars="38" w:right="40" w:firstLine="480" w:firstLineChars="200"/>
        <w:rPr>
          <w:rFonts w:ascii="宋体" w:hAnsi="宋体"/>
          <w:color w:val="auto"/>
          <w:sz w:val="24"/>
          <w:szCs w:val="22"/>
          <w:highlight w:val="none"/>
          <w:lang w:val="zh-CN"/>
        </w:rPr>
      </w:pPr>
      <w:r>
        <w:rPr>
          <w:rFonts w:ascii="宋体" w:hAnsi="宋体"/>
          <w:color w:val="auto"/>
          <w:sz w:val="24"/>
          <w:szCs w:val="22"/>
          <w:highlight w:val="none"/>
          <w:lang w:val="zh-CN"/>
        </w:rPr>
        <w:t xml:space="preserve">本单位对上述声明的真实性负责。如有虚假，将依法承担相应责任。 </w:t>
      </w:r>
    </w:p>
    <w:p>
      <w:pPr>
        <w:autoSpaceDE w:val="0"/>
        <w:autoSpaceDN w:val="0"/>
        <w:spacing w:line="480" w:lineRule="auto"/>
        <w:ind w:left="80" w:leftChars="38" w:right="40" w:firstLine="480" w:firstLineChars="200"/>
        <w:rPr>
          <w:rFonts w:ascii="宋体" w:hAnsi="宋体"/>
          <w:color w:val="auto"/>
          <w:sz w:val="24"/>
          <w:szCs w:val="22"/>
          <w:highlight w:val="none"/>
          <w:lang w:val="zh-CN"/>
        </w:rPr>
      </w:pPr>
    </w:p>
    <w:p>
      <w:pPr>
        <w:autoSpaceDE w:val="0"/>
        <w:autoSpaceDN w:val="0"/>
        <w:spacing w:line="480" w:lineRule="auto"/>
        <w:ind w:left="80" w:leftChars="38" w:right="40" w:firstLine="480" w:firstLineChars="200"/>
        <w:jc w:val="right"/>
        <w:rPr>
          <w:rFonts w:ascii="宋体" w:hAnsi="宋体"/>
          <w:color w:val="auto"/>
          <w:sz w:val="24"/>
          <w:szCs w:val="22"/>
          <w:highlight w:val="none"/>
          <w:lang w:val="zh-CN"/>
        </w:rPr>
      </w:pPr>
      <w:r>
        <w:rPr>
          <w:rFonts w:hint="eastAsia" w:ascii="宋体" w:hAnsi="宋体"/>
          <w:color w:val="auto"/>
          <w:sz w:val="24"/>
          <w:szCs w:val="22"/>
          <w:highlight w:val="none"/>
          <w:lang w:val="zh-CN"/>
        </w:rPr>
        <w:t>谈判响应人（盖章）：______________________</w:t>
      </w:r>
    </w:p>
    <w:p>
      <w:pPr>
        <w:autoSpaceDE w:val="0"/>
        <w:autoSpaceDN w:val="0"/>
        <w:spacing w:line="480" w:lineRule="auto"/>
        <w:ind w:left="80" w:leftChars="38" w:right="40" w:firstLine="480" w:firstLineChars="200"/>
        <w:jc w:val="right"/>
        <w:rPr>
          <w:rFonts w:ascii="宋体" w:hAnsi="宋体"/>
          <w:color w:val="auto"/>
          <w:sz w:val="24"/>
          <w:szCs w:val="22"/>
          <w:highlight w:val="none"/>
          <w:lang w:val="zh-CN"/>
        </w:rPr>
      </w:pPr>
      <w:r>
        <w:rPr>
          <w:rFonts w:hint="eastAsia" w:ascii="宋体" w:hAnsi="宋体"/>
          <w:color w:val="auto"/>
          <w:sz w:val="24"/>
          <w:szCs w:val="22"/>
          <w:highlight w:val="none"/>
          <w:lang w:val="zh-CN"/>
        </w:rPr>
        <w:t>法定代表人（盖章）：______________________</w:t>
      </w:r>
      <w:r>
        <w:rPr>
          <w:rFonts w:ascii="宋体" w:hAnsi="宋体"/>
          <w:color w:val="auto"/>
          <w:sz w:val="24"/>
          <w:szCs w:val="22"/>
          <w:highlight w:val="none"/>
          <w:lang w:val="zh-CN"/>
        </w:rPr>
        <w:t xml:space="preserve">                     </w:t>
      </w:r>
    </w:p>
    <w:p>
      <w:pPr>
        <w:autoSpaceDE w:val="0"/>
        <w:autoSpaceDN w:val="0"/>
        <w:spacing w:line="480" w:lineRule="auto"/>
        <w:ind w:left="80" w:leftChars="38" w:right="40" w:firstLine="480" w:firstLineChars="200"/>
        <w:jc w:val="center"/>
        <w:rPr>
          <w:rFonts w:ascii="宋体" w:hAnsi="宋体"/>
          <w:color w:val="auto"/>
          <w:sz w:val="24"/>
          <w:szCs w:val="22"/>
          <w:highlight w:val="none"/>
          <w:lang w:val="zh-CN"/>
        </w:rPr>
      </w:pPr>
      <w:r>
        <w:rPr>
          <w:rFonts w:hint="eastAsia" w:ascii="宋体" w:hAnsi="宋体"/>
          <w:color w:val="auto"/>
          <w:sz w:val="24"/>
          <w:szCs w:val="22"/>
          <w:highlight w:val="none"/>
          <w:lang w:val="en-US" w:eastAsia="zh-CN"/>
        </w:rPr>
        <w:t xml:space="preserve">                   </w:t>
      </w:r>
      <w:r>
        <w:rPr>
          <w:rFonts w:hint="eastAsia" w:ascii="宋体" w:hAnsi="宋体"/>
          <w:color w:val="auto"/>
          <w:sz w:val="24"/>
          <w:szCs w:val="22"/>
          <w:highlight w:val="none"/>
          <w:lang w:val="zh-CN"/>
        </w:rPr>
        <w:t>日</w:t>
      </w:r>
      <w:r>
        <w:rPr>
          <w:rFonts w:ascii="宋体" w:hAnsi="宋体"/>
          <w:color w:val="auto"/>
          <w:sz w:val="24"/>
          <w:szCs w:val="22"/>
          <w:highlight w:val="none"/>
          <w:lang w:val="zh-CN"/>
        </w:rPr>
        <w:t xml:space="preserve">      </w:t>
      </w:r>
      <w:r>
        <w:rPr>
          <w:rFonts w:hint="eastAsia" w:ascii="宋体" w:hAnsi="宋体"/>
          <w:color w:val="auto"/>
          <w:sz w:val="24"/>
          <w:szCs w:val="22"/>
          <w:highlight w:val="none"/>
          <w:lang w:val="zh-CN"/>
        </w:rPr>
        <w:t>期：______________________</w:t>
      </w:r>
      <w:r>
        <w:rPr>
          <w:rFonts w:ascii="宋体" w:hAnsi="宋体"/>
          <w:color w:val="auto"/>
          <w:sz w:val="24"/>
          <w:szCs w:val="22"/>
          <w:highlight w:val="none"/>
          <w:lang w:val="zh-CN"/>
        </w:rPr>
        <w:t xml:space="preserve">                     </w:t>
      </w:r>
    </w:p>
    <w:p>
      <w:pPr>
        <w:keepNext w:val="0"/>
        <w:keepLines w:val="0"/>
        <w:pageBreakBefore w:val="0"/>
        <w:widowControl w:val="0"/>
        <w:kinsoku/>
        <w:wordWrap/>
        <w:overflowPunct/>
        <w:topLinePunct w:val="0"/>
        <w:autoSpaceDE w:val="0"/>
        <w:autoSpaceDN w:val="0"/>
        <w:bidi w:val="0"/>
        <w:adjustRightInd/>
        <w:snapToGrid/>
        <w:spacing w:line="480" w:lineRule="auto"/>
        <w:ind w:left="0" w:leftChars="0" w:right="0" w:firstLine="0" w:firstLineChars="0"/>
        <w:jc w:val="left"/>
        <w:textAlignment w:val="auto"/>
        <w:rPr>
          <w:rFonts w:ascii="宋体" w:hAnsi="宋体"/>
          <w:color w:val="auto"/>
          <w:sz w:val="24"/>
          <w:szCs w:val="22"/>
          <w:highlight w:val="none"/>
          <w:lang w:val="zh-CN"/>
        </w:rPr>
      </w:pPr>
      <w:r>
        <w:rPr>
          <w:rFonts w:ascii="宋体" w:hAnsi="宋体"/>
          <w:color w:val="auto"/>
          <w:sz w:val="24"/>
          <w:szCs w:val="22"/>
          <w:highlight w:val="none"/>
          <w:lang w:val="zh-CN"/>
        </w:rPr>
        <w:t xml:space="preserve">备注： </w:t>
      </w:r>
    </w:p>
    <w:p>
      <w:pPr>
        <w:pageBreakBefore w:val="0"/>
        <w:kinsoku/>
        <w:wordWrap/>
        <w:overflowPunct/>
        <w:topLinePunct w:val="0"/>
        <w:autoSpaceDE/>
        <w:autoSpaceDN/>
        <w:bidi w:val="0"/>
        <w:adjustRightInd/>
        <w:snapToGrid/>
        <w:ind w:firstLine="720" w:firstLineChars="300"/>
        <w:textAlignment w:val="auto"/>
        <w:rPr>
          <w:rFonts w:ascii="宋体" w:hAnsi="宋体"/>
          <w:color w:val="auto"/>
          <w:sz w:val="24"/>
          <w:szCs w:val="22"/>
          <w:highlight w:val="none"/>
          <w:lang w:val="zh-CN"/>
        </w:rPr>
      </w:pPr>
      <w:r>
        <w:rPr>
          <w:rFonts w:hint="eastAsia" w:ascii="宋体" w:hAnsi="宋体"/>
          <w:color w:val="auto"/>
          <w:sz w:val="24"/>
          <w:szCs w:val="22"/>
          <w:highlight w:val="none"/>
          <w:lang w:val="zh-CN"/>
        </w:rPr>
        <w:t>对于谈判响应人</w:t>
      </w:r>
      <w:r>
        <w:rPr>
          <w:rFonts w:ascii="宋体" w:hAnsi="宋体"/>
          <w:color w:val="auto"/>
          <w:sz w:val="24"/>
          <w:szCs w:val="22"/>
          <w:highlight w:val="none"/>
          <w:lang w:val="zh-CN"/>
        </w:rPr>
        <w:t>提供的《残疾人福利性单位声明函》与事实不符的，依照《中华人民共和国政府采购法》第七十七条</w:t>
      </w:r>
      <w:r>
        <w:rPr>
          <w:rFonts w:hint="eastAsia" w:ascii="宋体" w:hAnsi="宋体"/>
          <w:color w:val="auto"/>
          <w:sz w:val="24"/>
          <w:szCs w:val="22"/>
          <w:highlight w:val="none"/>
          <w:lang w:val="zh-CN"/>
        </w:rPr>
        <w:t>相关</w:t>
      </w:r>
      <w:r>
        <w:rPr>
          <w:rFonts w:ascii="宋体" w:hAnsi="宋体"/>
          <w:color w:val="auto"/>
          <w:sz w:val="24"/>
          <w:szCs w:val="22"/>
          <w:highlight w:val="none"/>
          <w:lang w:val="zh-CN"/>
        </w:rPr>
        <w:t>规定追究法律责任；</w:t>
      </w:r>
    </w:p>
    <w:p>
      <w:pPr>
        <w:pageBreakBefore w:val="0"/>
        <w:kinsoku/>
        <w:wordWrap/>
        <w:overflowPunct/>
        <w:topLinePunct w:val="0"/>
        <w:bidi w:val="0"/>
        <w:spacing w:line="240" w:lineRule="auto"/>
        <w:ind w:firstLine="2310" w:firstLineChars="1100"/>
        <w:rPr>
          <w:rFonts w:hint="eastAsia" w:ascii="宋体" w:hAnsi="宋体"/>
          <w:color w:val="auto"/>
          <w:szCs w:val="21"/>
          <w:highlight w:val="none"/>
        </w:rPr>
      </w:pPr>
    </w:p>
    <w:p>
      <w:pPr>
        <w:pStyle w:val="4"/>
        <w:pageBreakBefore w:val="0"/>
        <w:kinsoku/>
        <w:wordWrap/>
        <w:overflowPunct/>
        <w:topLinePunct w:val="0"/>
        <w:bidi w:val="0"/>
        <w:spacing w:line="240" w:lineRule="auto"/>
        <w:rPr>
          <w:rFonts w:hint="eastAsia"/>
          <w:color w:val="auto"/>
          <w:highlight w:val="none"/>
          <w:lang w:val="en-US" w:eastAsia="zh-CN"/>
        </w:rPr>
      </w:pPr>
    </w:p>
    <w:p>
      <w:pPr>
        <w:pStyle w:val="4"/>
        <w:pageBreakBefore w:val="0"/>
        <w:kinsoku/>
        <w:wordWrap/>
        <w:overflowPunct/>
        <w:topLinePunct w:val="0"/>
        <w:bidi w:val="0"/>
        <w:spacing w:line="240" w:lineRule="auto"/>
        <w:jc w:val="both"/>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pStyle w:val="4"/>
        <w:pageBreakBefore w:val="0"/>
        <w:kinsoku/>
        <w:wordWrap/>
        <w:overflowPunct/>
        <w:topLinePunct w:val="0"/>
        <w:bidi w:val="0"/>
        <w:spacing w:line="240" w:lineRule="auto"/>
        <w:rPr>
          <w:rFonts w:hint="eastAsia"/>
          <w:color w:val="auto"/>
          <w:highlight w:val="none"/>
          <w:lang w:val="en-US" w:eastAsia="zh-CN"/>
        </w:rPr>
      </w:pPr>
      <w:bookmarkStart w:id="317" w:name="_Toc4534"/>
      <w:bookmarkStart w:id="318" w:name="_Toc16135"/>
      <w:bookmarkStart w:id="319" w:name="_Toc17903_WPSOffice_Level1"/>
      <w:bookmarkStart w:id="320" w:name="_Toc8695"/>
      <w:r>
        <w:rPr>
          <w:rFonts w:hint="eastAsia"/>
          <w:color w:val="auto"/>
          <w:highlight w:val="none"/>
          <w:lang w:val="en-US" w:eastAsia="zh-CN"/>
        </w:rPr>
        <w:t>（四）企业法人营业执照、企业资质证书、</w:t>
      </w:r>
      <w:bookmarkEnd w:id="317"/>
      <w:bookmarkEnd w:id="318"/>
      <w:bookmarkEnd w:id="319"/>
      <w:bookmarkEnd w:id="320"/>
    </w:p>
    <w:p>
      <w:pPr>
        <w:pStyle w:val="4"/>
        <w:pageBreakBefore w:val="0"/>
        <w:kinsoku/>
        <w:wordWrap/>
        <w:overflowPunct/>
        <w:topLinePunct w:val="0"/>
        <w:bidi w:val="0"/>
        <w:spacing w:line="240" w:lineRule="auto"/>
        <w:rPr>
          <w:rFonts w:hint="eastAsia" w:ascii="宋体" w:hAnsi="宋体" w:eastAsia="宋体" w:cs="宋体"/>
          <w:color w:val="auto"/>
          <w:highlight w:val="none"/>
          <w:lang w:eastAsia="zh-CN"/>
        </w:rPr>
      </w:pPr>
      <w:bookmarkStart w:id="321" w:name="_Toc9635"/>
      <w:bookmarkStart w:id="322" w:name="_Toc24275"/>
      <w:bookmarkStart w:id="323" w:name="_Toc31377"/>
      <w:r>
        <w:rPr>
          <w:rFonts w:hint="eastAsia"/>
          <w:color w:val="auto"/>
          <w:highlight w:val="none"/>
          <w:lang w:val="en-US" w:eastAsia="zh-CN"/>
        </w:rPr>
        <w:t>安全生产许可证</w:t>
      </w:r>
      <w:bookmarkEnd w:id="321"/>
      <w:bookmarkEnd w:id="322"/>
      <w:bookmarkEnd w:id="323"/>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复印件或影印件或扫描件）</w:t>
      </w:r>
    </w:p>
    <w:p>
      <w:pPr>
        <w:pageBreakBefore w:val="0"/>
        <w:numPr>
          <w:ilvl w:val="0"/>
          <w:numId w:val="0"/>
        </w:numPr>
        <w:kinsoku/>
        <w:wordWrap/>
        <w:overflowPunct/>
        <w:topLinePunct w:val="0"/>
        <w:bidi w:val="0"/>
        <w:spacing w:beforeAutospacing="0" w:afterAutospacing="0" w:line="240" w:lineRule="auto"/>
        <w:jc w:val="both"/>
        <w:rPr>
          <w:rFonts w:hint="eastAsia" w:ascii="宋体" w:hAnsi="宋体" w:eastAsia="宋体" w:cs="宋体"/>
          <w:color w:val="auto"/>
          <w:sz w:val="24"/>
          <w:highlight w:val="none"/>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both"/>
        <w:rPr>
          <w:rFonts w:hint="eastAsia" w:ascii="宋体" w:hAnsi="宋体" w:eastAsia="宋体" w:cs="宋体"/>
          <w:color w:val="auto"/>
          <w:sz w:val="24"/>
          <w:highlight w:val="none"/>
          <w:lang w:eastAsia="zh-CN"/>
        </w:rPr>
      </w:pPr>
    </w:p>
    <w:p>
      <w:pPr>
        <w:pStyle w:val="4"/>
        <w:pageBreakBefore w:val="0"/>
        <w:kinsoku/>
        <w:wordWrap/>
        <w:overflowPunct/>
        <w:topLinePunct w:val="0"/>
        <w:bidi w:val="0"/>
        <w:spacing w:line="240" w:lineRule="auto"/>
        <w:rPr>
          <w:rFonts w:hint="eastAsia"/>
          <w:color w:val="auto"/>
          <w:highlight w:val="none"/>
          <w:lang w:val="en-US" w:eastAsia="zh-CN"/>
        </w:rPr>
      </w:pPr>
      <w:bookmarkStart w:id="324" w:name="_Toc25330"/>
      <w:bookmarkStart w:id="325" w:name="_Toc31822"/>
      <w:bookmarkStart w:id="326" w:name="_Toc16391_WPSOffice_Level1"/>
      <w:bookmarkStart w:id="327" w:name="_Toc9259"/>
      <w:r>
        <w:rPr>
          <w:rFonts w:hint="eastAsia"/>
          <w:color w:val="auto"/>
          <w:highlight w:val="none"/>
          <w:lang w:val="en-US" w:eastAsia="zh-CN"/>
        </w:rPr>
        <w:t>（五）拟派项目经理的注册建造师证书、安全生产考核</w:t>
      </w:r>
      <w:bookmarkEnd w:id="324"/>
      <w:bookmarkEnd w:id="325"/>
      <w:bookmarkEnd w:id="326"/>
      <w:bookmarkEnd w:id="327"/>
    </w:p>
    <w:p>
      <w:pPr>
        <w:pStyle w:val="4"/>
        <w:pageBreakBefore w:val="0"/>
        <w:kinsoku/>
        <w:wordWrap/>
        <w:overflowPunct/>
        <w:topLinePunct w:val="0"/>
        <w:bidi w:val="0"/>
        <w:spacing w:line="240" w:lineRule="auto"/>
        <w:rPr>
          <w:rFonts w:hint="eastAsia" w:ascii="宋体" w:hAnsi="宋体" w:eastAsia="宋体" w:cs="宋体"/>
          <w:b/>
          <w:color w:val="auto"/>
          <w:szCs w:val="24"/>
          <w:highlight w:val="none"/>
          <w:lang w:val="en-US" w:eastAsia="zh-CN"/>
        </w:rPr>
      </w:pPr>
      <w:bookmarkStart w:id="328" w:name="_Toc26992"/>
      <w:bookmarkStart w:id="329" w:name="_Toc10522"/>
      <w:bookmarkStart w:id="330" w:name="_Toc17129"/>
      <w:r>
        <w:rPr>
          <w:rFonts w:hint="eastAsia"/>
          <w:color w:val="auto"/>
          <w:highlight w:val="none"/>
          <w:lang w:val="en-US" w:eastAsia="zh-CN"/>
        </w:rPr>
        <w:t>合格证</w:t>
      </w:r>
      <w:bookmarkEnd w:id="328"/>
      <w:bookmarkEnd w:id="329"/>
      <w:bookmarkEnd w:id="330"/>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复印件或影印件或扫描件）</w:t>
      </w: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b/>
          <w:color w:val="auto"/>
          <w:sz w:val="32"/>
          <w:szCs w:val="24"/>
          <w:highlight w:val="none"/>
          <w:lang w:val="en-US" w:eastAsia="zh-CN"/>
        </w:rPr>
      </w:pPr>
    </w:p>
    <w:p>
      <w:pPr>
        <w:pageBreakBefore w:val="0"/>
        <w:numPr>
          <w:ilvl w:val="0"/>
          <w:numId w:val="0"/>
        </w:numPr>
        <w:kinsoku/>
        <w:wordWrap/>
        <w:overflowPunct/>
        <w:topLinePunct w:val="0"/>
        <w:bidi w:val="0"/>
        <w:spacing w:beforeAutospacing="0" w:afterAutospacing="0" w:line="240" w:lineRule="auto"/>
        <w:jc w:val="both"/>
        <w:rPr>
          <w:rFonts w:hint="eastAsia" w:ascii="宋体" w:hAnsi="宋体" w:eastAsia="宋体" w:cs="宋体"/>
          <w:color w:val="auto"/>
          <w:sz w:val="24"/>
          <w:highlight w:val="none"/>
          <w:lang w:eastAsia="zh-CN"/>
        </w:rPr>
      </w:pPr>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color w:val="auto"/>
          <w:sz w:val="24"/>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b/>
          <w:color w:val="auto"/>
          <w:sz w:val="32"/>
          <w:szCs w:val="24"/>
          <w:highlight w:val="none"/>
          <w:lang w:val="en-US"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b/>
          <w:color w:val="auto"/>
          <w:sz w:val="32"/>
          <w:szCs w:val="24"/>
          <w:highlight w:val="none"/>
          <w:lang w:val="en-US"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b/>
          <w:color w:val="auto"/>
          <w:sz w:val="32"/>
          <w:szCs w:val="24"/>
          <w:highlight w:val="none"/>
          <w:lang w:val="en-US"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b/>
          <w:color w:val="auto"/>
          <w:sz w:val="32"/>
          <w:szCs w:val="24"/>
          <w:highlight w:val="none"/>
          <w:lang w:val="en-US"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b/>
          <w:color w:val="auto"/>
          <w:sz w:val="32"/>
          <w:szCs w:val="24"/>
          <w:highlight w:val="none"/>
          <w:lang w:val="en-US"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b/>
          <w:color w:val="auto"/>
          <w:sz w:val="32"/>
          <w:szCs w:val="24"/>
          <w:highlight w:val="none"/>
          <w:lang w:val="en-US"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b/>
          <w:color w:val="auto"/>
          <w:sz w:val="32"/>
          <w:szCs w:val="24"/>
          <w:highlight w:val="none"/>
          <w:lang w:val="en-US"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b/>
          <w:color w:val="auto"/>
          <w:sz w:val="32"/>
          <w:szCs w:val="24"/>
          <w:highlight w:val="none"/>
          <w:lang w:val="en-US"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b/>
          <w:color w:val="auto"/>
          <w:sz w:val="32"/>
          <w:szCs w:val="24"/>
          <w:highlight w:val="none"/>
          <w:lang w:val="en-US"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b/>
          <w:color w:val="auto"/>
          <w:sz w:val="32"/>
          <w:szCs w:val="24"/>
          <w:highlight w:val="none"/>
          <w:lang w:val="en-US"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b/>
          <w:color w:val="auto"/>
          <w:sz w:val="32"/>
          <w:szCs w:val="24"/>
          <w:highlight w:val="none"/>
          <w:lang w:val="en-US"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b/>
          <w:color w:val="auto"/>
          <w:sz w:val="32"/>
          <w:szCs w:val="24"/>
          <w:highlight w:val="none"/>
          <w:lang w:val="en-US"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b/>
          <w:color w:val="auto"/>
          <w:sz w:val="32"/>
          <w:szCs w:val="24"/>
          <w:highlight w:val="none"/>
          <w:lang w:val="en-US"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b/>
          <w:color w:val="auto"/>
          <w:sz w:val="32"/>
          <w:szCs w:val="24"/>
          <w:highlight w:val="none"/>
          <w:lang w:val="en-US" w:eastAsia="zh-CN"/>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b/>
          <w:color w:val="auto"/>
          <w:sz w:val="32"/>
          <w:szCs w:val="24"/>
          <w:highlight w:val="none"/>
          <w:lang w:val="en-US" w:eastAsia="zh-CN"/>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b/>
          <w:color w:val="auto"/>
          <w:sz w:val="32"/>
          <w:szCs w:val="24"/>
          <w:highlight w:val="none"/>
          <w:lang w:val="en-US" w:eastAsia="zh-CN"/>
        </w:rPr>
      </w:pPr>
    </w:p>
    <w:p>
      <w:pPr>
        <w:pStyle w:val="4"/>
        <w:pageBreakBefore w:val="0"/>
        <w:kinsoku/>
        <w:wordWrap/>
        <w:overflowPunct/>
        <w:topLinePunct w:val="0"/>
        <w:bidi w:val="0"/>
        <w:spacing w:line="240" w:lineRule="auto"/>
        <w:rPr>
          <w:rFonts w:hint="eastAsia"/>
          <w:color w:val="auto"/>
          <w:highlight w:val="none"/>
          <w:lang w:val="en-US" w:eastAsia="zh-CN"/>
        </w:rPr>
      </w:pPr>
      <w:bookmarkStart w:id="331" w:name="_Toc3021_WPSOffice_Level1"/>
      <w:bookmarkStart w:id="332" w:name="_Toc7406"/>
      <w:bookmarkStart w:id="333" w:name="_Toc26872"/>
      <w:bookmarkStart w:id="334" w:name="_Toc8014"/>
      <w:r>
        <w:rPr>
          <w:rFonts w:hint="eastAsia"/>
          <w:color w:val="auto"/>
          <w:highlight w:val="none"/>
          <w:lang w:val="en-US" w:eastAsia="zh-CN"/>
        </w:rPr>
        <w:t>（六）</w:t>
      </w:r>
      <w:r>
        <w:rPr>
          <w:rFonts w:hint="eastAsia"/>
          <w:color w:val="auto"/>
          <w:highlight w:val="none"/>
        </w:rPr>
        <w:t>企业（拟派项目经理）类似工程业绩</w:t>
      </w:r>
      <w:r>
        <w:rPr>
          <w:rFonts w:hint="eastAsia"/>
          <w:color w:val="auto"/>
          <w:highlight w:val="none"/>
          <w:lang w:val="en-US" w:eastAsia="zh-CN"/>
        </w:rPr>
        <w:t>等资格审查的其他材料</w:t>
      </w:r>
      <w:r>
        <w:rPr>
          <w:rFonts w:hint="eastAsia"/>
          <w:color w:val="auto"/>
          <w:highlight w:val="none"/>
        </w:rPr>
        <w:t>（如有要求）</w:t>
      </w:r>
      <w:bookmarkEnd w:id="331"/>
      <w:bookmarkEnd w:id="332"/>
      <w:bookmarkEnd w:id="333"/>
      <w:bookmarkEnd w:id="334"/>
    </w:p>
    <w:p>
      <w:pPr>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lang w:val="en-US" w:eastAsia="zh-CN"/>
        </w:rPr>
        <w:t>复印件或影印件或扫描件）</w:t>
      </w: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4"/>
        <w:pageBreakBefore w:val="0"/>
        <w:kinsoku/>
        <w:wordWrap/>
        <w:overflowPunct/>
        <w:topLinePunct w:val="0"/>
        <w:bidi w:val="0"/>
        <w:spacing w:line="240" w:lineRule="auto"/>
        <w:rPr>
          <w:rFonts w:hint="eastAsia" w:ascii="宋体" w:hAnsi="宋体" w:eastAsia="宋体" w:cs="宋体"/>
          <w:color w:val="auto"/>
          <w:szCs w:val="30"/>
          <w:highlight w:val="none"/>
        </w:rPr>
      </w:pPr>
      <w:bookmarkStart w:id="335" w:name="_Toc17360"/>
      <w:bookmarkStart w:id="336" w:name="_Toc3198"/>
      <w:bookmarkStart w:id="337" w:name="_Toc20143_WPSOffice_Level1"/>
      <w:bookmarkStart w:id="338" w:name="_Toc17892"/>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color w:val="auto"/>
          <w:highlight w:val="none"/>
        </w:rPr>
        <w:t>项目管理机构配备情况</w:t>
      </w:r>
      <w:bookmarkEnd w:id="335"/>
      <w:bookmarkEnd w:id="336"/>
      <w:bookmarkEnd w:id="337"/>
      <w:bookmarkEnd w:id="338"/>
    </w:p>
    <w:tbl>
      <w:tblPr>
        <w:tblStyle w:val="31"/>
        <w:tblW w:w="0" w:type="auto"/>
        <w:jc w:val="center"/>
        <w:tblLayout w:type="fixed"/>
        <w:tblCellMar>
          <w:top w:w="0" w:type="dxa"/>
          <w:left w:w="108" w:type="dxa"/>
          <w:bottom w:w="0" w:type="dxa"/>
          <w:right w:w="108" w:type="dxa"/>
        </w:tblCellMar>
      </w:tblPr>
      <w:tblGrid>
        <w:gridCol w:w="1689"/>
        <w:gridCol w:w="1400"/>
        <w:gridCol w:w="280"/>
        <w:gridCol w:w="1250"/>
        <w:gridCol w:w="581"/>
        <w:gridCol w:w="9"/>
        <w:gridCol w:w="995"/>
        <w:gridCol w:w="1050"/>
        <w:gridCol w:w="256"/>
        <w:gridCol w:w="1625"/>
      </w:tblGrid>
      <w:tr>
        <w:tblPrEx>
          <w:tblCellMar>
            <w:top w:w="0" w:type="dxa"/>
            <w:left w:w="108" w:type="dxa"/>
            <w:bottom w:w="0" w:type="dxa"/>
            <w:right w:w="108" w:type="dxa"/>
          </w:tblCellMar>
        </w:tblPrEx>
        <w:trPr>
          <w:trHeight w:val="583" w:hRule="atLeast"/>
          <w:jc w:val="center"/>
        </w:trPr>
        <w:tc>
          <w:tcPr>
            <w:tcW w:w="1689" w:type="dxa"/>
            <w:tcBorders>
              <w:top w:val="single" w:color="auto" w:sz="12" w:space="0"/>
              <w:left w:val="single" w:color="auto" w:sz="12"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1．公司人员</w:t>
            </w:r>
          </w:p>
        </w:tc>
        <w:tc>
          <w:tcPr>
            <w:tcW w:w="7446" w:type="dxa"/>
            <w:gridSpan w:val="9"/>
            <w:tcBorders>
              <w:top w:val="single" w:color="auto" w:sz="12"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2160" w:firstLineChars="9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共计：人</w:t>
            </w:r>
          </w:p>
        </w:tc>
      </w:tr>
      <w:tr>
        <w:tblPrEx>
          <w:tblCellMar>
            <w:top w:w="0" w:type="dxa"/>
            <w:left w:w="108" w:type="dxa"/>
            <w:bottom w:w="0" w:type="dxa"/>
            <w:right w:w="108" w:type="dxa"/>
          </w:tblCellMar>
        </w:tblPrEx>
        <w:trPr>
          <w:trHeight w:val="510" w:hRule="atLeast"/>
          <w:jc w:val="center"/>
        </w:trPr>
        <w:tc>
          <w:tcPr>
            <w:tcW w:w="1689" w:type="dxa"/>
            <w:vMerge w:val="restart"/>
            <w:tcBorders>
              <w:top w:val="single" w:color="auto" w:sz="12" w:space="0"/>
              <w:left w:val="single" w:color="auto" w:sz="12"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其中</w:t>
            </w:r>
          </w:p>
        </w:tc>
        <w:tc>
          <w:tcPr>
            <w:tcW w:w="5565" w:type="dxa"/>
            <w:gridSpan w:val="7"/>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有职称技术的管理人员</w:t>
            </w:r>
          </w:p>
        </w:tc>
        <w:tc>
          <w:tcPr>
            <w:tcW w:w="1881" w:type="dxa"/>
            <w:gridSpan w:val="2"/>
            <w:tcBorders>
              <w:top w:val="single" w:color="auto" w:sz="12"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其他管理人员</w:t>
            </w:r>
          </w:p>
        </w:tc>
      </w:tr>
      <w:tr>
        <w:tblPrEx>
          <w:tblCellMar>
            <w:top w:w="0" w:type="dxa"/>
            <w:left w:w="108" w:type="dxa"/>
            <w:bottom w:w="0" w:type="dxa"/>
            <w:right w:w="108" w:type="dxa"/>
          </w:tblCellMar>
        </w:tblPrEx>
        <w:trPr>
          <w:trHeight w:val="510" w:hRule="atLeast"/>
          <w:jc w:val="center"/>
        </w:trPr>
        <w:tc>
          <w:tcPr>
            <w:tcW w:w="1689" w:type="dxa"/>
            <w:vMerge w:val="continue"/>
            <w:tcBorders>
              <w:left w:val="single" w:color="auto" w:sz="12"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80" w:type="dxa"/>
            <w:gridSpan w:val="2"/>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高级工程师</w:t>
            </w:r>
          </w:p>
        </w:tc>
        <w:tc>
          <w:tcPr>
            <w:tcW w:w="1250" w:type="dxa"/>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工程师</w:t>
            </w:r>
          </w:p>
        </w:tc>
        <w:tc>
          <w:tcPr>
            <w:tcW w:w="1585" w:type="dxa"/>
            <w:gridSpan w:val="3"/>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助理工程师</w:t>
            </w:r>
          </w:p>
        </w:tc>
        <w:tc>
          <w:tcPr>
            <w:tcW w:w="1050" w:type="dxa"/>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技术员</w:t>
            </w:r>
          </w:p>
        </w:tc>
        <w:tc>
          <w:tcPr>
            <w:tcW w:w="1881" w:type="dxa"/>
            <w:gridSpan w:val="2"/>
            <w:tcBorders>
              <w:top w:val="single" w:color="auto" w:sz="12"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510" w:hRule="atLeast"/>
          <w:jc w:val="center"/>
        </w:trPr>
        <w:tc>
          <w:tcPr>
            <w:tcW w:w="1689" w:type="dxa"/>
            <w:vMerge w:val="continue"/>
            <w:tcBorders>
              <w:left w:val="single" w:color="auto" w:sz="12"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80" w:type="dxa"/>
            <w:gridSpan w:val="2"/>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c>
          <w:tcPr>
            <w:tcW w:w="1250" w:type="dxa"/>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c>
          <w:tcPr>
            <w:tcW w:w="1585" w:type="dxa"/>
            <w:gridSpan w:val="3"/>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c>
          <w:tcPr>
            <w:tcW w:w="1050" w:type="dxa"/>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c>
          <w:tcPr>
            <w:tcW w:w="1881" w:type="dxa"/>
            <w:gridSpan w:val="2"/>
            <w:tcBorders>
              <w:top w:val="single" w:color="auto" w:sz="12"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510" w:hRule="atLeast"/>
          <w:jc w:val="center"/>
        </w:trPr>
        <w:tc>
          <w:tcPr>
            <w:tcW w:w="1689" w:type="dxa"/>
            <w:vMerge w:val="continue"/>
            <w:tcBorders>
              <w:left w:val="single" w:color="auto" w:sz="12"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5565" w:type="dxa"/>
            <w:gridSpan w:val="7"/>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技术工人</w:t>
            </w:r>
          </w:p>
        </w:tc>
        <w:tc>
          <w:tcPr>
            <w:tcW w:w="1881" w:type="dxa"/>
            <w:gridSpan w:val="2"/>
            <w:tcBorders>
              <w:top w:val="single" w:color="auto" w:sz="12"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510" w:hRule="atLeast"/>
          <w:jc w:val="center"/>
        </w:trPr>
        <w:tc>
          <w:tcPr>
            <w:tcW w:w="1689" w:type="dxa"/>
            <w:vMerge w:val="continue"/>
            <w:tcBorders>
              <w:left w:val="single" w:color="auto" w:sz="12"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80" w:type="dxa"/>
            <w:gridSpan w:val="2"/>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8级以上</w:t>
            </w:r>
          </w:p>
        </w:tc>
        <w:tc>
          <w:tcPr>
            <w:tcW w:w="1250" w:type="dxa"/>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6～8级</w:t>
            </w:r>
          </w:p>
        </w:tc>
        <w:tc>
          <w:tcPr>
            <w:tcW w:w="1585" w:type="dxa"/>
            <w:gridSpan w:val="3"/>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4～6级</w:t>
            </w:r>
          </w:p>
        </w:tc>
        <w:tc>
          <w:tcPr>
            <w:tcW w:w="1050" w:type="dxa"/>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1～3级</w:t>
            </w:r>
          </w:p>
        </w:tc>
        <w:tc>
          <w:tcPr>
            <w:tcW w:w="1881" w:type="dxa"/>
            <w:gridSpan w:val="2"/>
            <w:tcBorders>
              <w:top w:val="single" w:color="auto" w:sz="12"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普通工人</w:t>
            </w:r>
          </w:p>
        </w:tc>
      </w:tr>
      <w:tr>
        <w:tblPrEx>
          <w:tblCellMar>
            <w:top w:w="0" w:type="dxa"/>
            <w:left w:w="108" w:type="dxa"/>
            <w:bottom w:w="0" w:type="dxa"/>
            <w:right w:w="108" w:type="dxa"/>
          </w:tblCellMar>
        </w:tblPrEx>
        <w:trPr>
          <w:trHeight w:val="510" w:hRule="atLeast"/>
          <w:jc w:val="center"/>
        </w:trPr>
        <w:tc>
          <w:tcPr>
            <w:tcW w:w="1689" w:type="dxa"/>
            <w:vMerge w:val="continue"/>
            <w:tcBorders>
              <w:left w:val="single" w:color="auto" w:sz="12"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80" w:type="dxa"/>
            <w:gridSpan w:val="2"/>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250" w:type="dxa"/>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585" w:type="dxa"/>
            <w:gridSpan w:val="3"/>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050" w:type="dxa"/>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881" w:type="dxa"/>
            <w:gridSpan w:val="2"/>
            <w:tcBorders>
              <w:top w:val="single" w:color="auto" w:sz="12"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626" w:hRule="atLeast"/>
          <w:jc w:val="center"/>
        </w:trPr>
        <w:tc>
          <w:tcPr>
            <w:tcW w:w="9135" w:type="dxa"/>
            <w:gridSpan w:val="10"/>
            <w:tcBorders>
              <w:top w:val="single" w:color="auto" w:sz="6" w:space="0"/>
              <w:left w:val="single" w:color="auto" w:sz="12"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445770</wp:posOffset>
                      </wp:positionV>
                      <wp:extent cx="1934210" cy="551815"/>
                      <wp:effectExtent l="1270" t="4445" r="7620" b="15240"/>
                      <wp:wrapNone/>
                      <wp:docPr id="1" name="Line 13"/>
                      <wp:cNvGraphicFramePr/>
                      <a:graphic xmlns:a="http://schemas.openxmlformats.org/drawingml/2006/main">
                        <a:graphicData uri="http://schemas.microsoft.com/office/word/2010/wordprocessingShape">
                          <wps:wsp>
                            <wps:cNvCnPr/>
                            <wps:spPr>
                              <a:xfrm>
                                <a:off x="0" y="0"/>
                                <a:ext cx="1934210" cy="5518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3" o:spid="_x0000_s1026" o:spt="20" style="position:absolute;left:0pt;margin-left:-4.9pt;margin-top:35.1pt;height:43.45pt;width:152.3pt;z-index:251659264;mso-width-relative:page;mso-height-relative:page;" filled="f" stroked="t" coordsize="21600,21600" o:gfxdata="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Ct/nDXAAAACQEAAA8A&#10;AAAAAAAAAQAgAAAAIgAAAGRycy9kb3ducmV2LnhtbFBLAQIUABQAAAAIAIdO4kCuCfoD3wEAAN8D&#10;AAAOAAAAAAAAAAEAIAAAACYBAABkcnMvZTJvRG9jLnhtbFBLBQYAAAAABgAGAFkBAAB3BQAAAAA=&#10;">
                      <v:fill on="f" focussize="0,0"/>
                      <v:stroke color="#000000" joinstyle="round"/>
                      <v:imagedata o:title=""/>
                      <o:lock v:ext="edit" aspectratio="f"/>
                    </v:line>
                  </w:pict>
                </mc:Fallback>
              </mc:AlternateConten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．拟派往本招标工程项目的管理人员和技术人员</w:t>
            </w:r>
          </w:p>
        </w:tc>
      </w:tr>
      <w:tr>
        <w:trPr>
          <w:trHeight w:val="450" w:hRule="atLeast"/>
          <w:jc w:val="center"/>
        </w:trPr>
        <w:tc>
          <w:tcPr>
            <w:tcW w:w="3089" w:type="dxa"/>
            <w:gridSpan w:val="2"/>
            <w:vMerge w:val="restart"/>
            <w:tcBorders>
              <w:top w:val="single" w:color="auto" w:sz="6" w:space="0"/>
              <w:left w:val="single" w:color="auto" w:sz="12"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1140" w:right="0" w:hanging="1140" w:hangingChars="475"/>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数</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量</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1140" w:right="0" w:hanging="1140" w:hangingChars="475"/>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人员类别</w:t>
            </w:r>
          </w:p>
        </w:tc>
        <w:tc>
          <w:tcPr>
            <w:tcW w:w="6046" w:type="dxa"/>
            <w:gridSpan w:val="8"/>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从事本专业工作时间</w:t>
            </w:r>
          </w:p>
        </w:tc>
      </w:tr>
      <w:tr>
        <w:tblPrEx>
          <w:tblCellMar>
            <w:top w:w="0" w:type="dxa"/>
            <w:left w:w="108" w:type="dxa"/>
            <w:bottom w:w="0" w:type="dxa"/>
            <w:right w:w="108" w:type="dxa"/>
          </w:tblCellMar>
        </w:tblPrEx>
        <w:trPr>
          <w:trHeight w:val="450" w:hRule="atLeast"/>
          <w:jc w:val="center"/>
        </w:trPr>
        <w:tc>
          <w:tcPr>
            <w:tcW w:w="3089" w:type="dxa"/>
            <w:gridSpan w:val="2"/>
            <w:vMerge w:val="continue"/>
            <w:tcBorders>
              <w:left w:val="single" w:color="auto" w:sz="12" w:space="0"/>
              <w:bottom w:val="nil"/>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1140" w:right="0" w:hanging="1140" w:hangingChars="475"/>
              <w:jc w:val="left"/>
              <w:rPr>
                <w:rFonts w:hint="eastAsia" w:ascii="宋体" w:hAnsi="宋体" w:eastAsia="宋体" w:cs="宋体"/>
                <w:color w:val="auto"/>
                <w:sz w:val="24"/>
                <w:highlight w:val="none"/>
                <w:lang w:val="zh-CN"/>
              </w:rPr>
            </w:pPr>
          </w:p>
        </w:tc>
        <w:tc>
          <w:tcPr>
            <w:tcW w:w="2120" w:type="dxa"/>
            <w:gridSpan w:val="4"/>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10年以上</w:t>
            </w:r>
          </w:p>
        </w:tc>
        <w:tc>
          <w:tcPr>
            <w:tcW w:w="2301" w:type="dxa"/>
            <w:gridSpan w:val="3"/>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5年至10年</w:t>
            </w:r>
          </w:p>
        </w:tc>
        <w:tc>
          <w:tcPr>
            <w:tcW w:w="1625"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5年以下</w:t>
            </w:r>
          </w:p>
        </w:tc>
      </w:tr>
      <w:tr>
        <w:tblPrEx>
          <w:tblCellMar>
            <w:top w:w="0" w:type="dxa"/>
            <w:left w:w="108" w:type="dxa"/>
            <w:bottom w:w="0" w:type="dxa"/>
            <w:right w:w="108" w:type="dxa"/>
          </w:tblCellMar>
        </w:tblPrEx>
        <w:trPr>
          <w:trHeight w:val="576" w:hRule="atLeast"/>
          <w:jc w:val="center"/>
        </w:trPr>
        <w:tc>
          <w:tcPr>
            <w:tcW w:w="3089"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管理人员(如下所列)</w:t>
            </w:r>
          </w:p>
        </w:tc>
        <w:tc>
          <w:tcPr>
            <w:tcW w:w="2111"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425" w:hRule="atLeast"/>
          <w:jc w:val="center"/>
        </w:trPr>
        <w:tc>
          <w:tcPr>
            <w:tcW w:w="3089"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项目经理</w:t>
            </w:r>
          </w:p>
        </w:tc>
        <w:tc>
          <w:tcPr>
            <w:tcW w:w="2111"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425" w:hRule="atLeast"/>
          <w:jc w:val="center"/>
        </w:trPr>
        <w:tc>
          <w:tcPr>
            <w:tcW w:w="3089" w:type="dxa"/>
            <w:gridSpan w:val="2"/>
            <w:tcBorders>
              <w:top w:val="single" w:color="auto" w:sz="6" w:space="0"/>
              <w:left w:val="single" w:color="auto" w:sz="12"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技术负责人</w:t>
            </w:r>
          </w:p>
        </w:tc>
        <w:tc>
          <w:tcPr>
            <w:tcW w:w="2111" w:type="dxa"/>
            <w:gridSpan w:val="3"/>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425" w:hRule="atLeast"/>
          <w:jc w:val="center"/>
        </w:trPr>
        <w:tc>
          <w:tcPr>
            <w:tcW w:w="3089"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技术人员(如下所列)</w:t>
            </w:r>
          </w:p>
        </w:tc>
        <w:tc>
          <w:tcPr>
            <w:tcW w:w="2111"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425" w:hRule="atLeast"/>
          <w:jc w:val="center"/>
        </w:trPr>
        <w:tc>
          <w:tcPr>
            <w:tcW w:w="3089"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111"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425" w:hRule="atLeast"/>
          <w:jc w:val="center"/>
        </w:trPr>
        <w:tc>
          <w:tcPr>
            <w:tcW w:w="3089" w:type="dxa"/>
            <w:gridSpan w:val="2"/>
            <w:tcBorders>
              <w:top w:val="nil"/>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111"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425" w:hRule="atLeast"/>
          <w:jc w:val="center"/>
        </w:trPr>
        <w:tc>
          <w:tcPr>
            <w:tcW w:w="3089"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111"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425" w:hRule="atLeast"/>
          <w:jc w:val="center"/>
        </w:trPr>
        <w:tc>
          <w:tcPr>
            <w:tcW w:w="3089"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111"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425" w:hRule="atLeast"/>
          <w:jc w:val="center"/>
        </w:trPr>
        <w:tc>
          <w:tcPr>
            <w:tcW w:w="3089"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111"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425" w:hRule="atLeast"/>
          <w:jc w:val="center"/>
        </w:trPr>
        <w:tc>
          <w:tcPr>
            <w:tcW w:w="3089"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111"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108" w:type="dxa"/>
            <w:bottom w:w="0" w:type="dxa"/>
            <w:right w:w="108" w:type="dxa"/>
          </w:tblCellMar>
        </w:tblPrEx>
        <w:trPr>
          <w:trHeight w:val="425" w:hRule="atLeast"/>
          <w:jc w:val="center"/>
        </w:trPr>
        <w:tc>
          <w:tcPr>
            <w:tcW w:w="3089" w:type="dxa"/>
            <w:gridSpan w:val="2"/>
            <w:tcBorders>
              <w:top w:val="single" w:color="auto" w:sz="6" w:space="0"/>
              <w:left w:val="single" w:color="auto" w:sz="12" w:space="0"/>
              <w:bottom w:val="single" w:color="auto" w:sz="12"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111" w:type="dxa"/>
            <w:gridSpan w:val="3"/>
            <w:tcBorders>
              <w:top w:val="single" w:color="auto" w:sz="6" w:space="0"/>
              <w:left w:val="single" w:color="auto" w:sz="6" w:space="0"/>
              <w:bottom w:val="single" w:color="auto" w:sz="12"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2310" w:type="dxa"/>
            <w:gridSpan w:val="4"/>
            <w:tcBorders>
              <w:top w:val="single" w:color="auto" w:sz="6" w:space="0"/>
              <w:left w:val="single" w:color="auto" w:sz="6" w:space="0"/>
              <w:bottom w:val="single" w:color="auto" w:sz="12"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c>
          <w:tcPr>
            <w:tcW w:w="1625" w:type="dxa"/>
            <w:tcBorders>
              <w:top w:val="single" w:color="auto" w:sz="6" w:space="0"/>
              <w:left w:val="single" w:color="auto" w:sz="6" w:space="0"/>
              <w:bottom w:val="single" w:color="auto" w:sz="12" w:space="0"/>
              <w:right w:val="single" w:color="auto" w:sz="12"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bl>
    <w:p>
      <w:pPr>
        <w:pageBreakBefore w:val="0"/>
        <w:kinsoku/>
        <w:wordWrap/>
        <w:overflowPunct/>
        <w:topLinePunct w:val="0"/>
        <w:autoSpaceDE w:val="0"/>
        <w:autoSpaceDN w:val="0"/>
        <w:bidi w:val="0"/>
        <w:adjustRightInd w:val="0"/>
        <w:spacing w:beforeAutospacing="0" w:afterAutospacing="0" w:line="240" w:lineRule="auto"/>
        <w:ind w:firstLine="21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注：表内列举的管理人员、技术人员可随项目类型的不同而变化。</w:t>
      </w:r>
    </w:p>
    <w:p>
      <w:pPr>
        <w:pageBreakBefore w:val="0"/>
        <w:kinsoku/>
        <w:wordWrap/>
        <w:overflowPunct/>
        <w:topLinePunct w:val="0"/>
        <w:autoSpaceDE w:val="0"/>
        <w:autoSpaceDN w:val="0"/>
        <w:bidi w:val="0"/>
        <w:adjustRightInd w:val="0"/>
        <w:spacing w:beforeAutospacing="0" w:afterAutospacing="0" w:line="240" w:lineRule="auto"/>
        <w:ind w:firstLine="328" w:firstLineChars="137"/>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谈判响应人</w:t>
      </w:r>
      <w:r>
        <w:rPr>
          <w:rFonts w:hint="eastAsia" w:ascii="宋体" w:hAnsi="宋体" w:eastAsia="宋体" w:cs="宋体"/>
          <w:color w:val="auto"/>
          <w:sz w:val="24"/>
          <w:highlight w:val="none"/>
        </w:rPr>
        <w:t>声明：</w:t>
      </w:r>
      <w:bookmarkStart w:id="339" w:name="注投标人声明"/>
      <w:r>
        <w:rPr>
          <w:rFonts w:hint="eastAsia" w:ascii="宋体" w:hAnsi="宋体" w:eastAsia="宋体" w:cs="宋体"/>
          <w:color w:val="auto"/>
          <w:sz w:val="24"/>
          <w:highlight w:val="none"/>
        </w:rPr>
        <w:t>本工程一旦我公司</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，将实行项目经理负责制，并配备上述项目管理班子，上述所报内容真实，若不真实，愿按有关规定接受处理，项目管理班子机构设置、职责分工等情况另附资料说明。</w:t>
      </w:r>
      <w:bookmarkEnd w:id="339"/>
    </w:p>
    <w:p>
      <w:pPr>
        <w:pageBreakBefore w:val="0"/>
        <w:kinsoku/>
        <w:wordWrap/>
        <w:overflowPunct/>
        <w:topLinePunct w:val="0"/>
        <w:autoSpaceDE w:val="0"/>
        <w:autoSpaceDN w:val="0"/>
        <w:bidi w:val="0"/>
        <w:adjustRightInd w:val="0"/>
        <w:spacing w:beforeAutospacing="0" w:afterAutospacing="0" w:line="240" w:lineRule="auto"/>
        <w:ind w:firstLine="328" w:firstLineChars="137"/>
        <w:jc w:val="left"/>
        <w:rPr>
          <w:rFonts w:hint="eastAsia" w:ascii="宋体" w:hAnsi="宋体" w:eastAsia="宋体" w:cs="宋体"/>
          <w:color w:val="auto"/>
          <w:sz w:val="24"/>
          <w:highlight w:val="none"/>
          <w:lang w:val="zh-CN"/>
        </w:rPr>
      </w:pPr>
    </w:p>
    <w:p>
      <w:pPr>
        <w:pStyle w:val="49"/>
        <w:rPr>
          <w:rFonts w:hint="eastAsia"/>
          <w:color w:val="auto"/>
          <w:highlight w:val="none"/>
          <w:lang w:val="zh-CN"/>
        </w:rPr>
      </w:pPr>
    </w:p>
    <w:p>
      <w:pPr>
        <w:pStyle w:val="4"/>
        <w:pageBreakBefore w:val="0"/>
        <w:kinsoku/>
        <w:wordWrap/>
        <w:overflowPunct/>
        <w:topLinePunct w:val="0"/>
        <w:bidi w:val="0"/>
        <w:spacing w:line="240" w:lineRule="auto"/>
        <w:rPr>
          <w:rFonts w:hint="eastAsia" w:ascii="宋体" w:hAnsi="宋体" w:eastAsia="宋体" w:cs="宋体"/>
          <w:color w:val="auto"/>
          <w:szCs w:val="30"/>
          <w:highlight w:val="none"/>
        </w:rPr>
      </w:pPr>
      <w:bookmarkStart w:id="340" w:name="_Toc14058_WPSOffice_Level1"/>
      <w:bookmarkStart w:id="341" w:name="_Toc3290"/>
      <w:bookmarkStart w:id="342" w:name="_Toc2368"/>
      <w:bookmarkStart w:id="343" w:name="_Toc171742005"/>
      <w:bookmarkStart w:id="344" w:name="_Toc171581562"/>
      <w:bookmarkStart w:id="345" w:name="_Toc171581382"/>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bookmarkEnd w:id="340"/>
      <w:bookmarkEnd w:id="341"/>
      <w:bookmarkEnd w:id="342"/>
      <w:r>
        <w:rPr>
          <w:rFonts w:hint="eastAsia"/>
          <w:color w:val="auto"/>
          <w:highlight w:val="none"/>
        </w:rPr>
        <w:t>拟派项目经理简历</w:t>
      </w:r>
    </w:p>
    <w:tbl>
      <w:tblPr>
        <w:tblStyle w:val="31"/>
        <w:tblW w:w="9440" w:type="dxa"/>
        <w:jc w:val="center"/>
        <w:tblLayout w:type="fixed"/>
        <w:tblCellMar>
          <w:top w:w="0" w:type="dxa"/>
          <w:left w:w="28" w:type="dxa"/>
          <w:bottom w:w="0" w:type="dxa"/>
          <w:right w:w="28" w:type="dxa"/>
        </w:tblCellMar>
      </w:tblPr>
      <w:tblGrid>
        <w:gridCol w:w="1300"/>
        <w:gridCol w:w="910"/>
        <w:gridCol w:w="330"/>
        <w:gridCol w:w="2610"/>
        <w:gridCol w:w="1155"/>
        <w:gridCol w:w="3135"/>
      </w:tblGrid>
      <w:tr>
        <w:tblPrEx>
          <w:tblCellMar>
            <w:top w:w="0" w:type="dxa"/>
            <w:left w:w="28" w:type="dxa"/>
            <w:bottom w:w="0" w:type="dxa"/>
            <w:right w:w="28" w:type="dxa"/>
          </w:tblCellMar>
        </w:tblPrEx>
        <w:trPr>
          <w:trHeight w:val="870" w:hRule="atLeast"/>
          <w:jc w:val="center"/>
        </w:trPr>
        <w:tc>
          <w:tcPr>
            <w:tcW w:w="2210" w:type="dxa"/>
            <w:gridSpan w:val="2"/>
            <w:tcBorders>
              <w:top w:val="single" w:color="auto" w:sz="12" w:space="0"/>
              <w:left w:val="single" w:color="auto" w:sz="12"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拟任职位</w:t>
            </w:r>
          </w:p>
        </w:tc>
        <w:tc>
          <w:tcPr>
            <w:tcW w:w="7230" w:type="dxa"/>
            <w:gridSpan w:val="4"/>
            <w:tcBorders>
              <w:top w:val="single" w:color="auto" w:sz="12"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28" w:type="dxa"/>
            <w:bottom w:w="0" w:type="dxa"/>
            <w:right w:w="28" w:type="dxa"/>
          </w:tblCellMar>
        </w:tblPrEx>
        <w:trPr>
          <w:trHeight w:val="870" w:hRule="atLeast"/>
          <w:jc w:val="center"/>
        </w:trPr>
        <w:tc>
          <w:tcPr>
            <w:tcW w:w="2210"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姓名</w:t>
            </w:r>
          </w:p>
        </w:tc>
        <w:tc>
          <w:tcPr>
            <w:tcW w:w="2940"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c>
          <w:tcPr>
            <w:tcW w:w="115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出生年月</w:t>
            </w:r>
          </w:p>
        </w:tc>
        <w:tc>
          <w:tcPr>
            <w:tcW w:w="3135"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480" w:firstLineChars="200"/>
              <w:jc w:val="left"/>
              <w:rPr>
                <w:rFonts w:hint="eastAsia" w:ascii="宋体" w:hAnsi="宋体" w:eastAsia="宋体" w:cs="宋体"/>
                <w:color w:val="auto"/>
                <w:sz w:val="24"/>
                <w:highlight w:val="none"/>
                <w:lang w:val="zh-CN"/>
              </w:rPr>
            </w:pPr>
          </w:p>
        </w:tc>
      </w:tr>
      <w:tr>
        <w:tblPrEx>
          <w:tblCellMar>
            <w:top w:w="0" w:type="dxa"/>
            <w:left w:w="28" w:type="dxa"/>
            <w:bottom w:w="0" w:type="dxa"/>
            <w:right w:w="28" w:type="dxa"/>
          </w:tblCellMar>
        </w:tblPrEx>
        <w:trPr>
          <w:trHeight w:val="870" w:hRule="atLeast"/>
          <w:jc w:val="center"/>
        </w:trPr>
        <w:tc>
          <w:tcPr>
            <w:tcW w:w="2210"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执业或职业资格</w:t>
            </w:r>
          </w:p>
        </w:tc>
        <w:tc>
          <w:tcPr>
            <w:tcW w:w="7230" w:type="dxa"/>
            <w:gridSpan w:val="4"/>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r>
      <w:tr>
        <w:tblPrEx>
          <w:tblCellMar>
            <w:top w:w="0" w:type="dxa"/>
            <w:left w:w="28" w:type="dxa"/>
            <w:bottom w:w="0" w:type="dxa"/>
            <w:right w:w="28" w:type="dxa"/>
          </w:tblCellMar>
        </w:tblPrEx>
        <w:trPr>
          <w:trHeight w:val="870" w:hRule="atLeast"/>
          <w:jc w:val="center"/>
        </w:trPr>
        <w:tc>
          <w:tcPr>
            <w:tcW w:w="2210"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学历</w:t>
            </w:r>
          </w:p>
        </w:tc>
        <w:tc>
          <w:tcPr>
            <w:tcW w:w="2940"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c>
          <w:tcPr>
            <w:tcW w:w="115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职称</w:t>
            </w:r>
          </w:p>
        </w:tc>
        <w:tc>
          <w:tcPr>
            <w:tcW w:w="3135"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28" w:type="dxa"/>
            <w:bottom w:w="0" w:type="dxa"/>
            <w:right w:w="28" w:type="dxa"/>
          </w:tblCellMar>
        </w:tblPrEx>
        <w:trPr>
          <w:trHeight w:val="870" w:hRule="atLeast"/>
          <w:jc w:val="center"/>
        </w:trPr>
        <w:tc>
          <w:tcPr>
            <w:tcW w:w="2210" w:type="dxa"/>
            <w:gridSpan w:val="2"/>
            <w:tcBorders>
              <w:top w:val="single" w:color="auto" w:sz="4" w:space="0"/>
              <w:left w:val="single" w:color="auto" w:sz="12" w:space="0"/>
              <w:bottom w:val="nil"/>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职务</w:t>
            </w:r>
          </w:p>
        </w:tc>
        <w:tc>
          <w:tcPr>
            <w:tcW w:w="2940"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c>
          <w:tcPr>
            <w:tcW w:w="115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工作年限</w:t>
            </w:r>
          </w:p>
        </w:tc>
        <w:tc>
          <w:tcPr>
            <w:tcW w:w="3135"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color w:val="auto"/>
                <w:sz w:val="24"/>
                <w:highlight w:val="none"/>
                <w:lang w:val="zh-CN"/>
              </w:rPr>
            </w:pPr>
          </w:p>
        </w:tc>
      </w:tr>
      <w:tr>
        <w:tblPrEx>
          <w:tblCellMar>
            <w:top w:w="0" w:type="dxa"/>
            <w:left w:w="28" w:type="dxa"/>
            <w:bottom w:w="0" w:type="dxa"/>
            <w:right w:w="28" w:type="dxa"/>
          </w:tblCellMar>
        </w:tblPrEx>
        <w:trPr>
          <w:trHeight w:val="870" w:hRule="atLeast"/>
          <w:jc w:val="center"/>
        </w:trPr>
        <w:tc>
          <w:tcPr>
            <w:tcW w:w="130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自</w:t>
            </w:r>
          </w:p>
        </w:tc>
        <w:tc>
          <w:tcPr>
            <w:tcW w:w="124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至</w:t>
            </w:r>
          </w:p>
        </w:tc>
        <w:tc>
          <w:tcPr>
            <w:tcW w:w="6900"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auto"/>
                <w:sz w:val="24"/>
                <w:highlight w:val="none"/>
                <w:lang w:val="zh-CN"/>
              </w:rPr>
            </w:pPr>
            <w:r>
              <w:rPr>
                <w:rFonts w:hint="eastAsia" w:ascii="宋体" w:hAnsi="宋体" w:eastAsia="宋体" w:cs="宋体"/>
                <w:color w:val="auto"/>
                <w:sz w:val="24"/>
                <w:highlight w:val="none"/>
              </w:rPr>
              <w:t>主要经验及承担的项目</w:t>
            </w:r>
          </w:p>
        </w:tc>
      </w:tr>
      <w:tr>
        <w:tblPrEx>
          <w:tblCellMar>
            <w:top w:w="0" w:type="dxa"/>
            <w:left w:w="28" w:type="dxa"/>
            <w:bottom w:w="0" w:type="dxa"/>
            <w:right w:w="28" w:type="dxa"/>
          </w:tblCellMar>
        </w:tblPrEx>
        <w:trPr>
          <w:trHeight w:val="870" w:hRule="atLeast"/>
          <w:jc w:val="center"/>
        </w:trPr>
        <w:tc>
          <w:tcPr>
            <w:tcW w:w="130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年月</w:t>
            </w:r>
          </w:p>
        </w:tc>
        <w:tc>
          <w:tcPr>
            <w:tcW w:w="124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240" w:firstLineChars="1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年月</w:t>
            </w:r>
          </w:p>
        </w:tc>
        <w:tc>
          <w:tcPr>
            <w:tcW w:w="6900"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r>
      <w:tr>
        <w:tblPrEx>
          <w:tblCellMar>
            <w:top w:w="0" w:type="dxa"/>
            <w:left w:w="28" w:type="dxa"/>
            <w:bottom w:w="0" w:type="dxa"/>
            <w:right w:w="28" w:type="dxa"/>
          </w:tblCellMar>
        </w:tblPrEx>
        <w:trPr>
          <w:trHeight w:val="870" w:hRule="atLeast"/>
          <w:jc w:val="center"/>
        </w:trPr>
        <w:tc>
          <w:tcPr>
            <w:tcW w:w="130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年月</w:t>
            </w:r>
          </w:p>
        </w:tc>
        <w:tc>
          <w:tcPr>
            <w:tcW w:w="124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年月</w:t>
            </w:r>
          </w:p>
        </w:tc>
        <w:tc>
          <w:tcPr>
            <w:tcW w:w="6900"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r>
      <w:tr>
        <w:tblPrEx>
          <w:tblCellMar>
            <w:top w:w="0" w:type="dxa"/>
            <w:left w:w="28" w:type="dxa"/>
            <w:bottom w:w="0" w:type="dxa"/>
            <w:right w:w="28" w:type="dxa"/>
          </w:tblCellMar>
        </w:tblPrEx>
        <w:trPr>
          <w:trHeight w:val="870" w:hRule="atLeast"/>
          <w:jc w:val="center"/>
        </w:trPr>
        <w:tc>
          <w:tcPr>
            <w:tcW w:w="130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年月</w:t>
            </w:r>
          </w:p>
        </w:tc>
        <w:tc>
          <w:tcPr>
            <w:tcW w:w="124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年月</w:t>
            </w:r>
          </w:p>
        </w:tc>
        <w:tc>
          <w:tcPr>
            <w:tcW w:w="6900"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r>
      <w:tr>
        <w:tblPrEx>
          <w:tblCellMar>
            <w:top w:w="0" w:type="dxa"/>
            <w:left w:w="28" w:type="dxa"/>
            <w:bottom w:w="0" w:type="dxa"/>
            <w:right w:w="28" w:type="dxa"/>
          </w:tblCellMar>
        </w:tblPrEx>
        <w:trPr>
          <w:trHeight w:val="870" w:hRule="atLeast"/>
          <w:jc w:val="center"/>
        </w:trPr>
        <w:tc>
          <w:tcPr>
            <w:tcW w:w="130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年月</w:t>
            </w:r>
          </w:p>
        </w:tc>
        <w:tc>
          <w:tcPr>
            <w:tcW w:w="124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年月</w:t>
            </w:r>
          </w:p>
        </w:tc>
        <w:tc>
          <w:tcPr>
            <w:tcW w:w="6900"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p>
        </w:tc>
      </w:tr>
      <w:tr>
        <w:tblPrEx>
          <w:tblCellMar>
            <w:top w:w="0" w:type="dxa"/>
            <w:left w:w="28" w:type="dxa"/>
            <w:bottom w:w="0" w:type="dxa"/>
            <w:right w:w="28" w:type="dxa"/>
          </w:tblCellMar>
        </w:tblPrEx>
        <w:trPr>
          <w:trHeight w:val="870" w:hRule="atLeast"/>
          <w:jc w:val="center"/>
        </w:trPr>
        <w:tc>
          <w:tcPr>
            <w:tcW w:w="130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年月</w:t>
            </w:r>
          </w:p>
        </w:tc>
        <w:tc>
          <w:tcPr>
            <w:tcW w:w="124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年月</w:t>
            </w:r>
          </w:p>
        </w:tc>
        <w:tc>
          <w:tcPr>
            <w:tcW w:w="6900"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kern w:val="0"/>
                <w:sz w:val="24"/>
                <w:highlight w:val="none"/>
                <w:lang w:val="zh-CN"/>
              </w:rPr>
            </w:pPr>
          </w:p>
        </w:tc>
      </w:tr>
      <w:tr>
        <w:tblPrEx>
          <w:tblCellMar>
            <w:top w:w="0" w:type="dxa"/>
            <w:left w:w="28" w:type="dxa"/>
            <w:bottom w:w="0" w:type="dxa"/>
            <w:right w:w="28" w:type="dxa"/>
          </w:tblCellMar>
        </w:tblPrEx>
        <w:trPr>
          <w:trHeight w:val="1485" w:hRule="atLeast"/>
          <w:jc w:val="center"/>
        </w:trPr>
        <w:tc>
          <w:tcPr>
            <w:tcW w:w="2540" w:type="dxa"/>
            <w:gridSpan w:val="3"/>
            <w:tcBorders>
              <w:top w:val="single" w:color="auto" w:sz="6" w:space="0"/>
              <w:left w:val="single" w:color="auto" w:sz="12" w:space="0"/>
              <w:bottom w:val="single" w:color="auto" w:sz="12"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说明在岗情况</w:t>
            </w:r>
          </w:p>
        </w:tc>
        <w:tc>
          <w:tcPr>
            <w:tcW w:w="6900" w:type="dxa"/>
            <w:gridSpan w:val="3"/>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color w:val="auto"/>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谈判响应</w:t>
            </w:r>
            <w:r>
              <w:rPr>
                <w:rFonts w:hint="eastAsia" w:ascii="宋体" w:hAnsi="宋体" w:eastAsia="宋体" w:cs="宋体"/>
                <w:color w:val="auto"/>
                <w:kern w:val="0"/>
                <w:sz w:val="24"/>
                <w:szCs w:val="24"/>
                <w:highlight w:val="none"/>
                <w:lang w:val="en-US" w:eastAsia="zh-CN" w:bidi="ar"/>
              </w:rPr>
              <w:t>截止日未在其他项目担任项目经理，现从事工作为：</w:t>
            </w:r>
            <w:r>
              <w:rPr>
                <w:rFonts w:hint="default" w:ascii="Times New Roman" w:hAnsi="Times New Roman" w:eastAsia="宋体" w:cs="Times New Roman"/>
                <w:color w:val="auto"/>
                <w:kern w:val="0"/>
                <w:sz w:val="24"/>
                <w:szCs w:val="24"/>
                <w:highlight w:val="none"/>
                <w:lang w:val="en-US" w:eastAsia="zh-CN" w:bidi="ar"/>
              </w:rPr>
              <w:t xml:space="preserve">______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i w:val="0"/>
                <w:iCs w:val="0"/>
                <w:color w:val="auto"/>
                <w:kern w:val="0"/>
                <w:sz w:val="24"/>
                <w:highlight w:val="none"/>
                <w:u w:val="none"/>
                <w:lang w:val="en-US" w:eastAsia="zh-CN"/>
              </w:rPr>
            </w:pPr>
            <w:r>
              <w:rPr>
                <w:rFonts w:hint="eastAsia" w:ascii="宋体" w:hAnsi="宋体" w:eastAsia="宋体" w:cs="宋体"/>
                <w:color w:val="auto"/>
                <w:kern w:val="0"/>
                <w:sz w:val="24"/>
                <w:szCs w:val="24"/>
                <w:highlight w:val="none"/>
                <w:lang w:val="en-US" w:eastAsia="zh-CN" w:bidi="ar"/>
              </w:rPr>
              <w:sym w:font="Wingdings 2" w:char="00A3"/>
            </w:r>
            <w:r>
              <w:rPr>
                <w:rFonts w:hint="eastAsia" w:ascii="宋体" w:hAnsi="宋体" w:eastAsia="宋体" w:cs="宋体"/>
                <w:i w:val="0"/>
                <w:iCs w:val="0"/>
                <w:color w:val="auto"/>
                <w:kern w:val="0"/>
                <w:sz w:val="24"/>
                <w:highlight w:val="none"/>
                <w:u w:val="none"/>
                <w:lang w:eastAsia="zh-CN"/>
              </w:rPr>
              <w:t>虽在其他项目担任项目经理但本项目</w:t>
            </w:r>
            <w:r>
              <w:rPr>
                <w:rFonts w:hint="eastAsia" w:ascii="宋体" w:hAnsi="宋体" w:eastAsia="宋体" w:cs="宋体"/>
                <w:i w:val="0"/>
                <w:iCs w:val="0"/>
                <w:color w:val="auto"/>
                <w:kern w:val="0"/>
                <w:sz w:val="24"/>
                <w:highlight w:val="none"/>
                <w:u w:val="none"/>
                <w:lang w:val="en-US" w:eastAsia="zh-CN"/>
              </w:rPr>
              <w:t>但在本项目成交后合同签订前能够从其他项目变更至本项目并全面履约。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目前任职项目：</w:t>
            </w:r>
            <w:r>
              <w:rPr>
                <w:rFonts w:hint="default" w:ascii="Times New Roman" w:hAnsi="Times New Roman" w:eastAsia="宋体" w:cs="Times New Roman"/>
                <w:color w:val="auto"/>
                <w:kern w:val="0"/>
                <w:sz w:val="24"/>
                <w:szCs w:val="24"/>
                <w:highlight w:val="none"/>
                <w:lang w:val="en-US" w:eastAsia="zh-CN" w:bidi="ar"/>
              </w:rPr>
              <w:t>________________________</w:t>
            </w:r>
            <w:r>
              <w:rPr>
                <w:rFonts w:hint="eastAsia" w:ascii="宋体" w:hAnsi="宋体" w:eastAsia="宋体" w:cs="宋体"/>
                <w:color w:val="auto"/>
                <w:kern w:val="0"/>
                <w:sz w:val="24"/>
                <w:szCs w:val="24"/>
                <w:highlight w:val="none"/>
                <w:lang w:val="en-US" w:eastAsia="zh-CN" w:bidi="ar"/>
              </w:rPr>
              <w:t xml:space="preserve">。 </w:t>
            </w:r>
          </w:p>
        </w:tc>
      </w:tr>
    </w:tbl>
    <w:p>
      <w:pPr>
        <w:pageBreakBefore w:val="0"/>
        <w:kinsoku/>
        <w:wordWrap/>
        <w:overflowPunct/>
        <w:topLinePunct w:val="0"/>
        <w:autoSpaceDE w:val="0"/>
        <w:autoSpaceDN w:val="0"/>
        <w:bidi w:val="0"/>
        <w:adjustRightInd w:val="0"/>
        <w:spacing w:beforeAutospacing="0" w:afterAutospacing="0" w:line="240" w:lineRule="auto"/>
        <w:ind w:firstLine="240" w:firstLineChars="1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注：1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提供主要人员的专业经验,特别须注明其在技术及管理方面与本工程相类似的特殊经验。</w:t>
      </w:r>
    </w:p>
    <w:p>
      <w:pPr>
        <w:pageBreakBefore w:val="0"/>
        <w:numPr>
          <w:ilvl w:val="0"/>
          <w:numId w:val="0"/>
        </w:numPr>
        <w:kinsoku/>
        <w:wordWrap/>
        <w:overflowPunct/>
        <w:topLinePunct w:val="0"/>
        <w:autoSpaceDE w:val="0"/>
        <w:autoSpaceDN w:val="0"/>
        <w:bidi w:val="0"/>
        <w:adjustRightInd w:val="0"/>
        <w:spacing w:beforeAutospacing="0" w:afterAutospacing="0" w:line="240" w:lineRule="auto"/>
        <w:ind w:left="420" w:leftChars="0"/>
        <w:jc w:val="left"/>
        <w:rPr>
          <w:rFonts w:hint="eastAsia" w:ascii="宋体" w:hAnsi="宋体" w:eastAsia="宋体" w:cs="宋体"/>
          <w:color w:val="auto"/>
          <w:sz w:val="24"/>
          <w:highlight w:val="none"/>
          <w:lang w:val="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zh-CN"/>
        </w:rPr>
        <w:t>谈判响应人</w:t>
      </w:r>
      <w:r>
        <w:rPr>
          <w:rFonts w:hint="eastAsia" w:ascii="宋体" w:hAnsi="宋体" w:eastAsia="宋体" w:cs="宋体"/>
          <w:color w:val="auto"/>
          <w:sz w:val="24"/>
          <w:highlight w:val="none"/>
          <w:lang w:val="zh-CN"/>
        </w:rPr>
        <w:t>须提供拟派往本工程的项目经理身份证</w:t>
      </w:r>
      <w:r>
        <w:rPr>
          <w:rFonts w:hint="eastAsia" w:ascii="宋体" w:hAnsi="宋体" w:eastAsia="宋体" w:cs="宋体"/>
          <w:color w:val="auto"/>
          <w:sz w:val="24"/>
          <w:highlight w:val="none"/>
          <w:lang w:val="en-US" w:eastAsia="zh-CN"/>
        </w:rPr>
        <w:t>复印件或</w:t>
      </w:r>
      <w:r>
        <w:rPr>
          <w:rFonts w:hint="eastAsia" w:ascii="宋体" w:hAnsi="宋体" w:eastAsia="宋体" w:cs="宋体"/>
          <w:color w:val="auto"/>
          <w:sz w:val="24"/>
          <w:highlight w:val="none"/>
        </w:rPr>
        <w:t>影印件或扫描件</w:t>
      </w:r>
      <w:r>
        <w:rPr>
          <w:rFonts w:hint="eastAsia" w:ascii="宋体" w:hAnsi="宋体" w:eastAsia="宋体" w:cs="宋体"/>
          <w:color w:val="auto"/>
          <w:sz w:val="24"/>
          <w:highlight w:val="none"/>
          <w:lang w:val="zh-CN"/>
        </w:rPr>
        <w:t>。</w:t>
      </w:r>
    </w:p>
    <w:p>
      <w:pPr>
        <w:pageBreakBefore w:val="0"/>
        <w:numPr>
          <w:ilvl w:val="0"/>
          <w:numId w:val="0"/>
        </w:numPr>
        <w:kinsoku/>
        <w:wordWrap/>
        <w:overflowPunct/>
        <w:topLinePunct w:val="0"/>
        <w:autoSpaceDE w:val="0"/>
        <w:autoSpaceDN w:val="0"/>
        <w:bidi w:val="0"/>
        <w:adjustRightInd w:val="0"/>
        <w:spacing w:beforeAutospacing="0" w:afterAutospacing="0" w:line="240" w:lineRule="auto"/>
        <w:ind w:left="420" w:leftChars="0"/>
        <w:jc w:val="left"/>
        <w:rPr>
          <w:rFonts w:hint="eastAsia" w:ascii="宋体" w:hAnsi="宋体" w:eastAsia="宋体" w:cs="宋体"/>
          <w:color w:val="auto"/>
          <w:sz w:val="24"/>
          <w:highlight w:val="none"/>
          <w:lang w:val="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zh-CN"/>
        </w:rPr>
        <w:t>说明在岗情况仅须拟派项目经理提供。</w:t>
      </w:r>
    </w:p>
    <w:p>
      <w:pPr>
        <w:pStyle w:val="4"/>
        <w:pageBreakBefore w:val="0"/>
        <w:kinsoku/>
        <w:wordWrap/>
        <w:overflowPunct/>
        <w:topLinePunct w:val="0"/>
        <w:bidi w:val="0"/>
        <w:spacing w:line="240" w:lineRule="auto"/>
        <w:rPr>
          <w:rFonts w:hint="eastAsia"/>
          <w:b/>
          <w:color w:val="auto"/>
          <w:highlight w:val="none"/>
          <w:lang w:eastAsia="zh-CN"/>
        </w:rPr>
      </w:pPr>
      <w:r>
        <w:rPr>
          <w:rFonts w:hint="eastAsia"/>
          <w:b/>
          <w:color w:val="auto"/>
          <w:highlight w:val="none"/>
          <w:lang w:val="en-US" w:eastAsia="zh-CN"/>
        </w:rPr>
        <w:t>（九）项目经理承诺</w:t>
      </w:r>
    </w:p>
    <w:p>
      <w:pPr>
        <w:keepNext w:val="0"/>
        <w:keepLines w:val="0"/>
        <w:pageBreakBefore w:val="0"/>
        <w:widowControl/>
        <w:suppressLineNumbers w:val="0"/>
        <w:kinsoku/>
        <w:wordWrap/>
        <w:overflowPunct/>
        <w:topLinePunct w:val="0"/>
        <w:autoSpaceDE/>
        <w:autoSpaceDN/>
        <w:bidi w:val="0"/>
        <w:adjustRightInd/>
        <w:snapToGrid/>
        <w:spacing w:line="600" w:lineRule="auto"/>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致：______________(</w:t>
      </w:r>
      <w:r>
        <w:rPr>
          <w:rFonts w:hint="eastAsia" w:ascii="宋体" w:hAnsi="宋体" w:cs="宋体"/>
          <w:color w:val="auto"/>
          <w:kern w:val="0"/>
          <w:sz w:val="24"/>
          <w:szCs w:val="24"/>
          <w:highlight w:val="none"/>
          <w:lang w:val="en-US" w:eastAsia="zh-CN" w:bidi="ar"/>
        </w:rPr>
        <w:t>采购人</w:t>
      </w:r>
      <w:r>
        <w:rPr>
          <w:rFonts w:hint="eastAsia" w:ascii="宋体" w:hAnsi="宋体" w:eastAsia="宋体" w:cs="宋体"/>
          <w:color w:val="auto"/>
          <w:kern w:val="0"/>
          <w:sz w:val="24"/>
          <w:szCs w:val="24"/>
          <w:highlight w:val="none"/>
          <w:lang w:val="en-US" w:eastAsia="zh-CN" w:bidi="ar"/>
        </w:rPr>
        <w:t xml:space="preserve">名称) </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本人作为拟委任的项目经理，现郑重承诺如下： </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一、</w:t>
      </w:r>
      <w:r>
        <w:rPr>
          <w:rFonts w:hint="eastAsia" w:ascii="宋体" w:hAnsi="宋体" w:cs="宋体"/>
          <w:color w:val="auto"/>
          <w:kern w:val="0"/>
          <w:sz w:val="24"/>
          <w:szCs w:val="24"/>
          <w:highlight w:val="none"/>
          <w:lang w:val="en-US" w:eastAsia="zh-CN" w:bidi="ar"/>
        </w:rPr>
        <w:t>谈判响应</w:t>
      </w:r>
      <w:r>
        <w:rPr>
          <w:rFonts w:hint="eastAsia" w:ascii="宋体" w:hAnsi="宋体" w:eastAsia="宋体" w:cs="宋体"/>
          <w:color w:val="auto"/>
          <w:kern w:val="0"/>
          <w:sz w:val="24"/>
          <w:szCs w:val="24"/>
          <w:highlight w:val="none"/>
          <w:lang w:val="en-US" w:eastAsia="zh-CN" w:bidi="ar"/>
        </w:rPr>
        <w:t xml:space="preserve">文件中提供的项目经理业绩已经本人核实，工程实施过程中项目经理确为本人，真实无误，不存在虚假和挂靠现象，也不存在为投标而造假的行为。 </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二、</w:t>
      </w:r>
      <w:r>
        <w:rPr>
          <w:rFonts w:hint="eastAsia" w:ascii="宋体" w:hAnsi="宋体" w:eastAsia="宋体" w:cs="宋体"/>
          <w:color w:val="auto"/>
          <w:kern w:val="0"/>
          <w:sz w:val="24"/>
          <w:szCs w:val="24"/>
          <w:highlight w:val="none"/>
          <w:lang w:val="en-US" w:eastAsia="zh-CN" w:bidi="ar"/>
        </w:rPr>
        <w:t>谈判响应截止日未在其他项目担任项目经理，或虽在其他项目上担任项目经理岗位，但承诺在本项目成交后合同签订前能够从其他项目变更至本项目并全面履约。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三、以上承诺如果发现虚假现象，本人愿意承担相应法律责任，并随时无条件配合贵方调查取证。 </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1200" w:firstLineChars="5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auto"/>
        <w:ind w:firstLine="1200" w:firstLineChars="500"/>
        <w:jc w:val="righ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项目经理： </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（签字） </w:t>
      </w:r>
    </w:p>
    <w:p>
      <w:pPr>
        <w:keepNext w:val="0"/>
        <w:keepLines w:val="0"/>
        <w:pageBreakBefore w:val="0"/>
        <w:widowControl/>
        <w:suppressLineNumbers w:val="0"/>
        <w:kinsoku/>
        <w:wordWrap/>
        <w:overflowPunct/>
        <w:topLinePunct w:val="0"/>
        <w:autoSpaceDE/>
        <w:autoSpaceDN/>
        <w:bidi w:val="0"/>
        <w:adjustRightInd/>
        <w:snapToGrid/>
        <w:spacing w:line="6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身份证号： </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1200" w:firstLineChars="500"/>
        <w:jc w:val="center"/>
        <w:textAlignment w:val="auto"/>
        <w:rPr>
          <w:rFonts w:hint="default" w:ascii="宋体" w:hAnsi="宋体" w:eastAsia="宋体" w:cs="宋体"/>
          <w:color w:val="auto"/>
          <w:kern w:val="0"/>
          <w:sz w:val="24"/>
          <w:szCs w:val="24"/>
          <w:highlight w:val="none"/>
          <w:u w:val="single"/>
          <w:lang w:val="en-US" w:eastAsia="zh-CN" w:bidi="ar"/>
        </w:rPr>
      </w:pPr>
      <w:r>
        <w:rPr>
          <w:rFonts w:hint="eastAsia" w:ascii="Times New Roman" w:hAnsi="Times New Roman" w:eastAsia="宋体" w:cs="Times New Roman"/>
          <w:b w:val="0"/>
          <w:bCs w:val="0"/>
          <w:color w:val="auto"/>
          <w:kern w:val="2"/>
          <w:sz w:val="24"/>
          <w:szCs w:val="24"/>
          <w:highlight w:val="none"/>
          <w:lang w:val="en-US" w:eastAsia="zh-CN" w:bidi="ar-SA"/>
        </w:rPr>
        <w:t xml:space="preserve">                           </w:t>
      </w:r>
      <w:r>
        <w:rPr>
          <w:rFonts w:hint="eastAsia" w:cs="Times New Roman"/>
          <w:b w:val="0"/>
          <w:bCs w:val="0"/>
          <w:color w:val="auto"/>
          <w:kern w:val="2"/>
          <w:sz w:val="24"/>
          <w:szCs w:val="24"/>
          <w:highlight w:val="none"/>
          <w:lang w:val="en-US" w:eastAsia="zh-CN" w:bidi="ar-SA"/>
        </w:rPr>
        <w:t>谈判响应</w:t>
      </w:r>
      <w:r>
        <w:rPr>
          <w:rFonts w:hint="eastAsia" w:ascii="Times New Roman" w:hAnsi="Times New Roman" w:eastAsia="宋体" w:cs="Times New Roman"/>
          <w:b w:val="0"/>
          <w:bCs w:val="0"/>
          <w:color w:val="auto"/>
          <w:kern w:val="2"/>
          <w:sz w:val="24"/>
          <w:szCs w:val="24"/>
          <w:highlight w:val="none"/>
          <w:lang w:val="en-US" w:eastAsia="zh-CN" w:bidi="ar-SA"/>
        </w:rPr>
        <w:t xml:space="preserve">人： </w:t>
      </w:r>
      <w:r>
        <w:rPr>
          <w:rFonts w:hint="eastAsia" w:ascii="宋体" w:hAnsi="宋体" w:eastAsia="宋体" w:cs="宋体"/>
          <w:color w:val="auto"/>
          <w:kern w:val="0"/>
          <w:sz w:val="24"/>
          <w:szCs w:val="24"/>
          <w:highlight w:val="none"/>
          <w:u w:val="single"/>
          <w:lang w:val="en-US" w:eastAsia="zh-CN" w:bidi="ar"/>
        </w:rPr>
        <w:t xml:space="preserve">                 </w:t>
      </w:r>
      <w:r>
        <w:rPr>
          <w:rFonts w:hint="eastAsia" w:ascii="Times New Roman" w:hAnsi="Times New Roman" w:eastAsia="宋体" w:cs="Times New Roman"/>
          <w:b w:val="0"/>
          <w:bCs w:val="0"/>
          <w:color w:val="auto"/>
          <w:kern w:val="2"/>
          <w:sz w:val="24"/>
          <w:szCs w:val="24"/>
          <w:highlight w:val="none"/>
          <w:lang w:val="en-US" w:eastAsia="zh-CN" w:bidi="ar-SA"/>
        </w:rPr>
        <w:t>（盖公章）</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1200" w:firstLineChars="500"/>
        <w:jc w:val="righ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日期：_____年____月____日 </w:t>
      </w:r>
    </w:p>
    <w:p>
      <w:pPr>
        <w:pageBreakBefore w:val="0"/>
        <w:numPr>
          <w:ilvl w:val="0"/>
          <w:numId w:val="0"/>
        </w:numPr>
        <w:kinsoku/>
        <w:wordWrap/>
        <w:overflowPunct/>
        <w:topLinePunct w:val="0"/>
        <w:autoSpaceDE w:val="0"/>
        <w:autoSpaceDN w:val="0"/>
        <w:bidi w:val="0"/>
        <w:adjustRightInd w:val="0"/>
        <w:spacing w:beforeAutospacing="0" w:afterAutospacing="0" w:line="240" w:lineRule="auto"/>
        <w:ind w:firstLine="240" w:firstLineChars="100"/>
        <w:jc w:val="left"/>
        <w:rPr>
          <w:rFonts w:hint="eastAsia" w:ascii="宋体" w:hAnsi="宋体" w:eastAsia="宋体" w:cs="宋体"/>
          <w:color w:val="auto"/>
          <w:sz w:val="24"/>
          <w:highlight w:val="none"/>
          <w:lang w:val="zh-CN" w:eastAsia="zh-CN"/>
        </w:rPr>
      </w:pPr>
    </w:p>
    <w:p>
      <w:pPr>
        <w:pageBreakBefore w:val="0"/>
        <w:numPr>
          <w:ilvl w:val="0"/>
          <w:numId w:val="0"/>
        </w:numPr>
        <w:kinsoku/>
        <w:wordWrap/>
        <w:overflowPunct/>
        <w:topLinePunct w:val="0"/>
        <w:autoSpaceDE w:val="0"/>
        <w:autoSpaceDN w:val="0"/>
        <w:bidi w:val="0"/>
        <w:adjustRightInd w:val="0"/>
        <w:spacing w:beforeAutospacing="0" w:afterAutospacing="0" w:line="240" w:lineRule="auto"/>
        <w:ind w:firstLine="240" w:firstLineChars="100"/>
        <w:jc w:val="left"/>
        <w:rPr>
          <w:rFonts w:hint="eastAsia" w:ascii="宋体" w:hAnsi="宋体" w:eastAsia="宋体" w:cs="宋体"/>
          <w:color w:val="auto"/>
          <w:sz w:val="24"/>
          <w:highlight w:val="none"/>
          <w:lang w:val="zh-CN" w:eastAsia="zh-CN"/>
        </w:rPr>
      </w:pPr>
    </w:p>
    <w:p>
      <w:pPr>
        <w:pageBreakBefore w:val="0"/>
        <w:numPr>
          <w:ilvl w:val="0"/>
          <w:numId w:val="0"/>
        </w:numPr>
        <w:kinsoku/>
        <w:wordWrap/>
        <w:overflowPunct/>
        <w:topLinePunct w:val="0"/>
        <w:autoSpaceDE w:val="0"/>
        <w:autoSpaceDN w:val="0"/>
        <w:bidi w:val="0"/>
        <w:adjustRightInd w:val="0"/>
        <w:spacing w:beforeAutospacing="0" w:afterAutospacing="0" w:line="240" w:lineRule="auto"/>
        <w:ind w:firstLine="240" w:firstLineChars="100"/>
        <w:jc w:val="left"/>
        <w:rPr>
          <w:rFonts w:hint="eastAsia" w:ascii="宋体" w:hAnsi="宋体" w:eastAsia="宋体" w:cs="宋体"/>
          <w:color w:val="auto"/>
          <w:sz w:val="24"/>
          <w:highlight w:val="none"/>
          <w:lang w:val="zh-CN" w:eastAsia="zh-CN"/>
        </w:rPr>
      </w:pPr>
    </w:p>
    <w:p>
      <w:pPr>
        <w:pageBreakBefore w:val="0"/>
        <w:numPr>
          <w:ilvl w:val="0"/>
          <w:numId w:val="0"/>
        </w:numPr>
        <w:kinsoku/>
        <w:wordWrap/>
        <w:overflowPunct/>
        <w:topLinePunct w:val="0"/>
        <w:autoSpaceDE w:val="0"/>
        <w:autoSpaceDN w:val="0"/>
        <w:bidi w:val="0"/>
        <w:adjustRightInd w:val="0"/>
        <w:spacing w:beforeAutospacing="0" w:afterAutospacing="0" w:line="240" w:lineRule="auto"/>
        <w:ind w:firstLine="240" w:firstLineChars="100"/>
        <w:jc w:val="left"/>
        <w:rPr>
          <w:rFonts w:hint="eastAsia" w:ascii="宋体" w:hAnsi="宋体" w:eastAsia="宋体" w:cs="宋体"/>
          <w:color w:val="auto"/>
          <w:sz w:val="24"/>
          <w:highlight w:val="none"/>
          <w:lang w:val="zh-CN" w:eastAsia="zh-CN"/>
        </w:rPr>
      </w:pPr>
    </w:p>
    <w:p>
      <w:pPr>
        <w:pageBreakBefore w:val="0"/>
        <w:numPr>
          <w:ilvl w:val="0"/>
          <w:numId w:val="0"/>
        </w:numPr>
        <w:kinsoku/>
        <w:wordWrap/>
        <w:overflowPunct/>
        <w:topLinePunct w:val="0"/>
        <w:autoSpaceDE w:val="0"/>
        <w:autoSpaceDN w:val="0"/>
        <w:bidi w:val="0"/>
        <w:adjustRightInd w:val="0"/>
        <w:spacing w:beforeAutospacing="0" w:afterAutospacing="0" w:line="240" w:lineRule="auto"/>
        <w:ind w:firstLine="240" w:firstLineChars="100"/>
        <w:jc w:val="left"/>
        <w:rPr>
          <w:rFonts w:hint="eastAsia" w:ascii="宋体" w:hAnsi="宋体" w:eastAsia="宋体" w:cs="宋体"/>
          <w:color w:val="auto"/>
          <w:sz w:val="24"/>
          <w:highlight w:val="none"/>
          <w:lang w:val="zh-CN" w:eastAsia="zh-CN"/>
        </w:rPr>
      </w:pPr>
    </w:p>
    <w:p>
      <w:pPr>
        <w:pStyle w:val="4"/>
        <w:pageBreakBefore w:val="0"/>
        <w:kinsoku/>
        <w:wordWrap/>
        <w:overflowPunct/>
        <w:topLinePunct w:val="0"/>
        <w:bidi w:val="0"/>
        <w:spacing w:line="240" w:lineRule="auto"/>
        <w:rPr>
          <w:rFonts w:hint="eastAsia"/>
          <w:color w:val="auto"/>
          <w:highlight w:val="none"/>
          <w:lang w:eastAsia="zh-CN"/>
        </w:rPr>
      </w:pPr>
      <w:bookmarkStart w:id="346" w:name="_Toc12202"/>
      <w:bookmarkStart w:id="347" w:name="_Toc15992"/>
      <w:bookmarkStart w:id="348" w:name="_Toc27947"/>
      <w:bookmarkStart w:id="349" w:name="_Toc11524_WPSOffice_Level1"/>
    </w:p>
    <w:p>
      <w:pPr>
        <w:rPr>
          <w:rFonts w:hint="eastAsia"/>
          <w:color w:val="auto"/>
          <w:highlight w:val="none"/>
          <w:lang w:eastAsia="zh-CN"/>
        </w:rPr>
      </w:pPr>
    </w:p>
    <w:p>
      <w:pPr>
        <w:pStyle w:val="49"/>
        <w:ind w:left="0" w:leftChars="0" w:firstLine="0" w:firstLineChars="0"/>
        <w:rPr>
          <w:rFonts w:hint="eastAsia"/>
          <w:color w:val="auto"/>
          <w:highlight w:val="none"/>
          <w:lang w:eastAsia="zh-CN"/>
        </w:rPr>
      </w:pPr>
    </w:p>
    <w:bookmarkEnd w:id="346"/>
    <w:bookmarkEnd w:id="347"/>
    <w:bookmarkEnd w:id="348"/>
    <w:bookmarkEnd w:id="349"/>
    <w:p>
      <w:pPr>
        <w:pStyle w:val="4"/>
        <w:pageBreakBefore w:val="0"/>
        <w:kinsoku/>
        <w:wordWrap/>
        <w:overflowPunct/>
        <w:topLinePunct w:val="0"/>
        <w:bidi w:val="0"/>
        <w:spacing w:line="240" w:lineRule="auto"/>
        <w:rPr>
          <w:rFonts w:hint="eastAsia"/>
          <w:color w:val="auto"/>
          <w:highlight w:val="none"/>
        </w:rPr>
      </w:pPr>
      <w:bookmarkStart w:id="350" w:name="_Hlt42328636"/>
      <w:bookmarkEnd w:id="350"/>
      <w:bookmarkStart w:id="351" w:name="bt中标通知书"/>
      <w:bookmarkEnd w:id="351"/>
      <w:r>
        <w:rPr>
          <w:rFonts w:hint="eastAsia"/>
          <w:color w:val="auto"/>
          <w:highlight w:val="none"/>
          <w:lang w:eastAsia="zh-CN"/>
        </w:rPr>
        <w:t>（十）</w:t>
      </w:r>
      <w:r>
        <w:rPr>
          <w:rFonts w:hint="eastAsia"/>
          <w:color w:val="auto"/>
          <w:highlight w:val="none"/>
        </w:rPr>
        <w:t>拟分包情况表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980"/>
        <w:gridCol w:w="27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left="0" w:leftChars="0" w:right="0" w:firstLine="0" w:firstLineChars="0"/>
              <w:jc w:val="both"/>
              <w:rPr>
                <w:rFonts w:hint="eastAsia" w:ascii="宋体" w:hAnsi="宋体" w:eastAsia="宋体" w:cs="宋体"/>
                <w:color w:val="auto"/>
                <w:szCs w:val="24"/>
                <w:highlight w:val="none"/>
              </w:rPr>
            </w:pPr>
          </w:p>
        </w:tc>
        <w:tc>
          <w:tcPr>
            <w:tcW w:w="198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98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270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c>
          <w:tcPr>
            <w:tcW w:w="1440" w:type="dxa"/>
            <w:noWrap w:val="0"/>
            <w:vAlign w:val="top"/>
          </w:tcPr>
          <w:p>
            <w:pPr>
              <w:pStyle w:val="17"/>
              <w:keepNext w:val="0"/>
              <w:keepLines w:val="0"/>
              <w:pageBreakBefore w:val="0"/>
              <w:suppressLineNumbers w:val="0"/>
              <w:kinsoku/>
              <w:wordWrap/>
              <w:overflowPunct/>
              <w:topLinePunct w:val="0"/>
              <w:bidi w:val="0"/>
              <w:spacing w:before="0" w:beforeAutospacing="0" w:after="0" w:afterAutospacing="0" w:line="240" w:lineRule="auto"/>
              <w:ind w:right="0"/>
              <w:jc w:val="center"/>
              <w:rPr>
                <w:rFonts w:hint="eastAsia" w:ascii="宋体" w:hAnsi="宋体" w:eastAsia="宋体" w:cs="宋体"/>
                <w:color w:val="auto"/>
                <w:szCs w:val="24"/>
                <w:highlight w:val="none"/>
              </w:rPr>
            </w:pPr>
          </w:p>
        </w:tc>
      </w:tr>
    </w:tbl>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p>
    <w:p>
      <w:pPr>
        <w:numPr>
          <w:ilvl w:val="0"/>
          <w:numId w:val="0"/>
        </w:numPr>
        <w:jc w:val="center"/>
        <w:rPr>
          <w:rFonts w:hint="eastAsia" w:ascii="黑体" w:hAnsi="黑体" w:eastAsia="黑体" w:cs="Times New Roman"/>
          <w:b w:val="0"/>
          <w:bCs/>
          <w:color w:val="auto"/>
          <w:kern w:val="2"/>
          <w:sz w:val="24"/>
          <w:szCs w:val="24"/>
          <w:highlight w:val="none"/>
          <w:lang w:val="en-US" w:eastAsia="zh-CN" w:bidi="ar-SA"/>
        </w:rPr>
      </w:pPr>
      <w:r>
        <w:rPr>
          <w:rFonts w:hint="eastAsia" w:ascii="黑体" w:hAnsi="黑体" w:eastAsia="黑体" w:cs="Times New Roman"/>
          <w:b w:val="0"/>
          <w:bCs/>
          <w:color w:val="auto"/>
          <w:kern w:val="2"/>
          <w:sz w:val="24"/>
          <w:szCs w:val="24"/>
          <w:highlight w:val="none"/>
          <w:lang w:val="en-US" w:eastAsia="zh-CN" w:bidi="ar-SA"/>
        </w:rPr>
        <w:t>（十一）谈判报价编制人信息表</w:t>
      </w:r>
    </w:p>
    <w:p>
      <w:pPr>
        <w:numPr>
          <w:ilvl w:val="0"/>
          <w:numId w:val="0"/>
        </w:numPr>
        <w:jc w:val="center"/>
        <w:rPr>
          <w:rFonts w:hint="eastAsia" w:ascii="宋体" w:hAnsi="宋体" w:cs="宋体"/>
          <w:b/>
          <w:bCs/>
          <w:color w:val="auto"/>
          <w:sz w:val="32"/>
          <w:szCs w:val="32"/>
          <w:highlight w:val="none"/>
          <w:u w:val="none"/>
          <w:lang w:val="en-US" w:eastAsia="zh-CN"/>
        </w:rPr>
      </w:pPr>
    </w:p>
    <w:tbl>
      <w:tblPr>
        <w:tblStyle w:val="32"/>
        <w:tblW w:w="9606"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609"/>
        <w:gridCol w:w="1847"/>
        <w:gridCol w:w="1547"/>
        <w:gridCol w:w="1925"/>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5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序号</w:t>
            </w:r>
          </w:p>
        </w:tc>
        <w:tc>
          <w:tcPr>
            <w:tcW w:w="1609" w:type="dxa"/>
            <w:noWrap w:val="0"/>
            <w:vAlign w:val="center"/>
          </w:tcPr>
          <w:p>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姓名</w:t>
            </w:r>
          </w:p>
        </w:tc>
        <w:tc>
          <w:tcPr>
            <w:tcW w:w="1847" w:type="dxa"/>
            <w:noWrap w:val="0"/>
            <w:vAlign w:val="center"/>
          </w:tcPr>
          <w:p>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身份证号码</w:t>
            </w:r>
          </w:p>
        </w:tc>
        <w:tc>
          <w:tcPr>
            <w:tcW w:w="1547" w:type="dxa"/>
            <w:noWrap w:val="0"/>
            <w:vAlign w:val="center"/>
          </w:tcPr>
          <w:p>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手机号码</w:t>
            </w:r>
          </w:p>
        </w:tc>
        <w:tc>
          <w:tcPr>
            <w:tcW w:w="192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单位名称</w:t>
            </w:r>
          </w:p>
        </w:tc>
        <w:tc>
          <w:tcPr>
            <w:tcW w:w="192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注册造价工程师注册证书号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753" w:type="dxa"/>
            <w:noWrap w:val="0"/>
            <w:vAlign w:val="top"/>
          </w:tcPr>
          <w:p>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sz w:val="32"/>
                <w:szCs w:val="32"/>
                <w:vertAlign w:val="baseline"/>
                <w:lang w:val="en-US" w:eastAsia="zh-CN"/>
              </w:rPr>
            </w:pPr>
          </w:p>
        </w:tc>
        <w:tc>
          <w:tcPr>
            <w:tcW w:w="1609" w:type="dxa"/>
            <w:noWrap w:val="0"/>
            <w:vAlign w:val="top"/>
          </w:tcPr>
          <w:p>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sz w:val="32"/>
                <w:szCs w:val="32"/>
                <w:vertAlign w:val="baseline"/>
                <w:lang w:val="en-US" w:eastAsia="zh-CN"/>
              </w:rPr>
            </w:pPr>
          </w:p>
        </w:tc>
        <w:tc>
          <w:tcPr>
            <w:tcW w:w="1847" w:type="dxa"/>
            <w:noWrap w:val="0"/>
            <w:vAlign w:val="top"/>
          </w:tcPr>
          <w:p>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sz w:val="32"/>
                <w:szCs w:val="32"/>
                <w:vertAlign w:val="baseline"/>
                <w:lang w:val="en-US" w:eastAsia="zh-CN"/>
              </w:rPr>
            </w:pPr>
          </w:p>
        </w:tc>
        <w:tc>
          <w:tcPr>
            <w:tcW w:w="1547" w:type="dxa"/>
            <w:noWrap w:val="0"/>
            <w:vAlign w:val="top"/>
          </w:tcPr>
          <w:p>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sz w:val="32"/>
                <w:szCs w:val="32"/>
                <w:vertAlign w:val="baseline"/>
                <w:lang w:val="en-US" w:eastAsia="zh-CN"/>
              </w:rPr>
            </w:pPr>
          </w:p>
        </w:tc>
        <w:tc>
          <w:tcPr>
            <w:tcW w:w="1925" w:type="dxa"/>
            <w:noWrap w:val="0"/>
            <w:vAlign w:val="top"/>
          </w:tcPr>
          <w:p>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sz w:val="24"/>
                <w:szCs w:val="24"/>
                <w:vertAlign w:val="baseline"/>
                <w:lang w:val="en-US" w:eastAsia="zh-CN"/>
              </w:rPr>
            </w:pPr>
          </w:p>
        </w:tc>
        <w:tc>
          <w:tcPr>
            <w:tcW w:w="1925" w:type="dxa"/>
            <w:noWrap w:val="0"/>
            <w:vAlign w:val="top"/>
          </w:tcPr>
          <w:p>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753" w:type="dxa"/>
            <w:noWrap w:val="0"/>
            <w:vAlign w:val="top"/>
          </w:tcPr>
          <w:p>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sz w:val="32"/>
                <w:szCs w:val="32"/>
                <w:vertAlign w:val="baseline"/>
                <w:lang w:val="en-US" w:eastAsia="zh-CN"/>
              </w:rPr>
            </w:pPr>
          </w:p>
        </w:tc>
        <w:tc>
          <w:tcPr>
            <w:tcW w:w="1609" w:type="dxa"/>
            <w:noWrap w:val="0"/>
            <w:vAlign w:val="top"/>
          </w:tcPr>
          <w:p>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sz w:val="32"/>
                <w:szCs w:val="32"/>
                <w:vertAlign w:val="baseline"/>
                <w:lang w:val="en-US" w:eastAsia="zh-CN"/>
              </w:rPr>
            </w:pPr>
          </w:p>
        </w:tc>
        <w:tc>
          <w:tcPr>
            <w:tcW w:w="1847" w:type="dxa"/>
            <w:noWrap w:val="0"/>
            <w:vAlign w:val="top"/>
          </w:tcPr>
          <w:p>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sz w:val="32"/>
                <w:szCs w:val="32"/>
                <w:vertAlign w:val="baseline"/>
                <w:lang w:val="en-US" w:eastAsia="zh-CN"/>
              </w:rPr>
            </w:pPr>
          </w:p>
        </w:tc>
        <w:tc>
          <w:tcPr>
            <w:tcW w:w="1547" w:type="dxa"/>
            <w:noWrap w:val="0"/>
            <w:vAlign w:val="top"/>
          </w:tcPr>
          <w:p>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sz w:val="32"/>
                <w:szCs w:val="32"/>
                <w:vertAlign w:val="baseline"/>
                <w:lang w:val="en-US" w:eastAsia="zh-CN"/>
              </w:rPr>
            </w:pPr>
          </w:p>
        </w:tc>
        <w:tc>
          <w:tcPr>
            <w:tcW w:w="1925" w:type="dxa"/>
            <w:noWrap w:val="0"/>
            <w:vAlign w:val="top"/>
          </w:tcPr>
          <w:p>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sz w:val="32"/>
                <w:szCs w:val="32"/>
                <w:vertAlign w:val="baseline"/>
                <w:lang w:val="en-US" w:eastAsia="zh-CN"/>
              </w:rPr>
            </w:pPr>
          </w:p>
        </w:tc>
        <w:tc>
          <w:tcPr>
            <w:tcW w:w="1925" w:type="dxa"/>
            <w:noWrap w:val="0"/>
            <w:vAlign w:val="top"/>
          </w:tcPr>
          <w:p>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53" w:type="dxa"/>
            <w:noWrap w:val="0"/>
            <w:vAlign w:val="top"/>
          </w:tcPr>
          <w:p>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sz w:val="32"/>
                <w:szCs w:val="32"/>
                <w:vertAlign w:val="baseline"/>
                <w:lang w:val="en-US" w:eastAsia="zh-CN"/>
              </w:rPr>
            </w:pPr>
          </w:p>
        </w:tc>
        <w:tc>
          <w:tcPr>
            <w:tcW w:w="1609" w:type="dxa"/>
            <w:noWrap w:val="0"/>
            <w:vAlign w:val="top"/>
          </w:tcPr>
          <w:p>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sz w:val="32"/>
                <w:szCs w:val="32"/>
                <w:vertAlign w:val="baseline"/>
                <w:lang w:val="en-US" w:eastAsia="zh-CN"/>
              </w:rPr>
            </w:pPr>
          </w:p>
        </w:tc>
        <w:tc>
          <w:tcPr>
            <w:tcW w:w="1847" w:type="dxa"/>
            <w:noWrap w:val="0"/>
            <w:vAlign w:val="top"/>
          </w:tcPr>
          <w:p>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sz w:val="32"/>
                <w:szCs w:val="32"/>
                <w:vertAlign w:val="baseline"/>
                <w:lang w:val="en-US" w:eastAsia="zh-CN"/>
              </w:rPr>
            </w:pPr>
          </w:p>
        </w:tc>
        <w:tc>
          <w:tcPr>
            <w:tcW w:w="1547" w:type="dxa"/>
            <w:noWrap w:val="0"/>
            <w:vAlign w:val="top"/>
          </w:tcPr>
          <w:p>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sz w:val="32"/>
                <w:szCs w:val="32"/>
                <w:vertAlign w:val="baseline"/>
                <w:lang w:val="en-US" w:eastAsia="zh-CN"/>
              </w:rPr>
            </w:pPr>
          </w:p>
        </w:tc>
        <w:tc>
          <w:tcPr>
            <w:tcW w:w="1925" w:type="dxa"/>
            <w:noWrap w:val="0"/>
            <w:vAlign w:val="top"/>
          </w:tcPr>
          <w:p>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sz w:val="32"/>
                <w:szCs w:val="32"/>
                <w:vertAlign w:val="baseline"/>
                <w:lang w:val="en-US" w:eastAsia="zh-CN"/>
              </w:rPr>
            </w:pPr>
          </w:p>
        </w:tc>
        <w:tc>
          <w:tcPr>
            <w:tcW w:w="1925" w:type="dxa"/>
            <w:noWrap w:val="0"/>
            <w:vAlign w:val="top"/>
          </w:tcPr>
          <w:p>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sz w:val="32"/>
                <w:szCs w:val="32"/>
                <w:vertAlign w:val="baseline"/>
                <w:lang w:val="en-US" w:eastAsia="zh-CN"/>
              </w:rPr>
            </w:pPr>
          </w:p>
        </w:tc>
      </w:tr>
    </w:tbl>
    <w:p>
      <w:pPr>
        <w:pStyle w:val="10"/>
        <w:rPr>
          <w:rFonts w:hint="default" w:ascii="Calibri" w:hAnsi="Calibri" w:eastAsia="仿宋_GB2312" w:cs="Calibri"/>
          <w:b/>
          <w:bCs/>
          <w:kern w:val="2"/>
          <w:sz w:val="21"/>
          <w:szCs w:val="21"/>
          <w:vertAlign w:val="baseline"/>
          <w:lang w:val="en-US" w:eastAsia="zh-CN" w:bidi="ar-SA"/>
        </w:rPr>
      </w:pPr>
    </w:p>
    <w:p>
      <w:pPr>
        <w:pStyle w:val="10"/>
        <w:rPr>
          <w:rFonts w:hint="eastAsia" w:ascii="Calibri" w:hAnsi="Calibri" w:eastAsia="仿宋_GB2312" w:cs="Calibri"/>
          <w:b/>
          <w:bCs/>
          <w:kern w:val="2"/>
          <w:sz w:val="21"/>
          <w:szCs w:val="21"/>
          <w:vertAlign w:val="baseline"/>
          <w:lang w:val="en-US" w:eastAsia="zh-CN" w:bidi="ar-SA"/>
        </w:rPr>
      </w:pPr>
      <w:r>
        <w:rPr>
          <w:rFonts w:hint="eastAsia" w:ascii="Calibri" w:hAnsi="Calibri" w:eastAsia="仿宋_GB2312" w:cs="Calibri"/>
          <w:b/>
          <w:bCs/>
          <w:kern w:val="2"/>
          <w:sz w:val="21"/>
          <w:szCs w:val="21"/>
          <w:vertAlign w:val="baseline"/>
          <w:lang w:val="en-US" w:eastAsia="zh-CN" w:bidi="ar-SA"/>
        </w:rPr>
        <w:t>注：</w:t>
      </w:r>
    </w:p>
    <w:p>
      <w:pPr>
        <w:autoSpaceDE w:val="0"/>
        <w:autoSpaceDN w:val="0"/>
        <w:adjustRightInd w:val="0"/>
        <w:spacing w:line="300" w:lineRule="exact"/>
        <w:jc w:val="left"/>
        <w:rPr>
          <w:rFonts w:hint="eastAsia" w:ascii="宋体" w:hAnsi="宋体" w:eastAsia="宋体" w:cs="宋体"/>
          <w:b/>
          <w:color w:val="000000"/>
          <w:kern w:val="0"/>
          <w:szCs w:val="21"/>
          <w:lang w:val="en-US" w:eastAsia="zh-CN"/>
        </w:rPr>
      </w:pPr>
      <w:r>
        <w:rPr>
          <w:rFonts w:hint="eastAsia" w:ascii="宋体" w:hAnsi="宋体" w:eastAsia="宋体" w:cs="宋体"/>
          <w:b/>
          <w:color w:val="000000"/>
          <w:kern w:val="0"/>
          <w:szCs w:val="21"/>
          <w:lang w:val="en-US" w:eastAsia="zh-CN"/>
        </w:rPr>
        <w:t>1.提供谈判报价编制人员的注册造价工程师证书扫描件或影印件；</w:t>
      </w:r>
    </w:p>
    <w:p>
      <w:pPr>
        <w:autoSpaceDE w:val="0"/>
        <w:autoSpaceDN w:val="0"/>
        <w:adjustRightInd w:val="0"/>
        <w:spacing w:line="300" w:lineRule="exact"/>
        <w:jc w:val="left"/>
        <w:rPr>
          <w:rFonts w:hint="eastAsia" w:ascii="宋体" w:hAnsi="宋体" w:eastAsia="宋体" w:cs="宋体"/>
          <w:b/>
          <w:color w:val="000000"/>
          <w:kern w:val="0"/>
          <w:szCs w:val="21"/>
          <w:lang w:val="en-US" w:eastAsia="zh-CN"/>
        </w:rPr>
      </w:pPr>
      <w:r>
        <w:rPr>
          <w:rFonts w:hint="eastAsia" w:ascii="宋体" w:hAnsi="宋体" w:eastAsia="宋体" w:cs="宋体"/>
          <w:b/>
          <w:color w:val="000000"/>
          <w:kern w:val="0"/>
          <w:szCs w:val="21"/>
          <w:lang w:val="en-US" w:eastAsia="zh-CN"/>
        </w:rPr>
        <w:t>2.若谈判报价编制人员为谈判响应人委托的造价咨询单位注册造价人员，须提供与造价咨询单位签订的委托协议。</w:t>
      </w:r>
    </w:p>
    <w:p>
      <w:pPr>
        <w:autoSpaceDE w:val="0"/>
        <w:autoSpaceDN w:val="0"/>
        <w:adjustRightInd w:val="0"/>
        <w:spacing w:line="300" w:lineRule="exact"/>
        <w:jc w:val="left"/>
        <w:rPr>
          <w:rFonts w:hint="eastAsia" w:ascii="宋体" w:hAnsi="宋体" w:eastAsia="宋体" w:cs="宋体"/>
          <w:b/>
          <w:color w:val="000000"/>
          <w:kern w:val="0"/>
          <w:szCs w:val="21"/>
          <w:lang w:val="en-US" w:eastAsia="zh-CN"/>
        </w:rPr>
      </w:pPr>
      <w:r>
        <w:rPr>
          <w:rFonts w:hint="eastAsia" w:ascii="宋体" w:hAnsi="宋体" w:eastAsia="宋体" w:cs="宋体"/>
          <w:b/>
          <w:color w:val="000000"/>
          <w:kern w:val="0"/>
          <w:szCs w:val="21"/>
          <w:lang w:val="en-US" w:eastAsia="zh-CN"/>
        </w:rPr>
        <w:t>3.表格内容将作为公安机关和行政主管部门调查串通投标、允许他人以自己名义从事工程造价业务等违法违规行为的重要依据。</w:t>
      </w:r>
    </w:p>
    <w:p>
      <w:pPr>
        <w:autoSpaceDE w:val="0"/>
        <w:autoSpaceDN w:val="0"/>
        <w:adjustRightInd w:val="0"/>
        <w:spacing w:line="300" w:lineRule="exact"/>
        <w:jc w:val="left"/>
        <w:rPr>
          <w:rFonts w:hint="eastAsia" w:ascii="宋体" w:hAnsi="宋体" w:eastAsia="宋体" w:cs="宋体"/>
          <w:b/>
          <w:color w:val="000000"/>
          <w:kern w:val="0"/>
          <w:szCs w:val="21"/>
          <w:lang w:val="en-US" w:eastAsia="zh-CN"/>
        </w:rPr>
      </w:pPr>
      <w:r>
        <w:rPr>
          <w:rFonts w:hint="eastAsia" w:ascii="宋体" w:hAnsi="宋体" w:eastAsia="宋体" w:cs="宋体"/>
          <w:b/>
          <w:color w:val="000000"/>
          <w:kern w:val="0"/>
          <w:szCs w:val="21"/>
          <w:lang w:val="en-US" w:eastAsia="zh-CN"/>
        </w:rPr>
        <w:t>4.谈判响应人填写内容务必真实准确，否则将承担谈判失败、中标无效的风险。</w:t>
      </w:r>
    </w:p>
    <w:p>
      <w:pPr>
        <w:pStyle w:val="10"/>
        <w:rPr>
          <w:rFonts w:hint="default" w:ascii="仿宋_GB2312" w:hAnsi="仿宋_GB2312" w:eastAsia="仿宋_GB2312" w:cs="仿宋_GB2312"/>
          <w:b/>
          <w:bCs/>
          <w:kern w:val="2"/>
          <w:sz w:val="24"/>
          <w:szCs w:val="24"/>
          <w:vertAlign w:val="baseline"/>
          <w:lang w:val="en-US" w:eastAsia="zh-CN" w:bidi="ar-SA"/>
        </w:rPr>
      </w:pPr>
    </w:p>
    <w:p>
      <w:pPr>
        <w:spacing w:line="360" w:lineRule="auto"/>
        <w:ind w:left="422"/>
        <w:jc w:val="center"/>
        <w:rPr>
          <w:rFonts w:hint="eastAsia" w:ascii="宋体" w:hAnsi="宋体" w:eastAsia="宋体" w:cs="Times New Roman"/>
          <w:b/>
          <w:bCs/>
          <w:szCs w:val="21"/>
        </w:rPr>
      </w:pPr>
      <w:r>
        <w:rPr>
          <w:rFonts w:hint="eastAsia" w:ascii="宋体" w:hAnsi="宋体" w:eastAsia="宋体" w:cs="宋体"/>
          <w:color w:val="auto"/>
          <w:sz w:val="30"/>
          <w:highlight w:val="none"/>
        </w:rPr>
        <w:br w:type="column"/>
      </w:r>
      <w:bookmarkStart w:id="352" w:name="_Toc12828"/>
      <w:bookmarkStart w:id="353" w:name="_Toc18866"/>
      <w:bookmarkStart w:id="354" w:name="_Toc11850"/>
      <w:r>
        <w:rPr>
          <w:rFonts w:hint="eastAsia" w:ascii="宋体" w:hAnsi="宋体" w:eastAsia="宋体" w:cs="Times New Roman"/>
          <w:b/>
          <w:bCs/>
          <w:szCs w:val="21"/>
          <w:lang w:val="en-US" w:eastAsia="zh-CN"/>
        </w:rPr>
        <w:t>(十二）</w:t>
      </w:r>
      <w:r>
        <w:rPr>
          <w:rFonts w:hint="eastAsia" w:ascii="宋体" w:hAnsi="宋体" w:eastAsia="宋体" w:cs="Times New Roman"/>
          <w:b/>
          <w:bCs/>
          <w:szCs w:val="21"/>
        </w:rPr>
        <w:t>供应商声明函</w:t>
      </w:r>
    </w:p>
    <w:p>
      <w:pPr>
        <w:spacing w:line="360" w:lineRule="auto"/>
        <w:ind w:left="422" w:firstLine="420" w:firstLineChars="200"/>
        <w:rPr>
          <w:rFonts w:ascii="宋体" w:hAnsi="宋体"/>
          <w:szCs w:val="21"/>
        </w:rPr>
      </w:pPr>
      <w:r>
        <w:rPr>
          <w:rFonts w:hint="eastAsia" w:ascii="宋体" w:hAnsi="宋体"/>
          <w:szCs w:val="21"/>
        </w:rPr>
        <w:t xml:space="preserve">根据《中华人民共和国政府采购法》及《中华人民共和国政府采购法实施条例》 的规定，本单位郑重声明：                                                   </w:t>
      </w:r>
    </w:p>
    <w:p>
      <w:pPr>
        <w:spacing w:line="360" w:lineRule="auto"/>
        <w:ind w:firstLine="840" w:firstLineChars="400"/>
        <w:rPr>
          <w:rFonts w:ascii="宋体" w:hAnsi="宋体"/>
          <w:szCs w:val="21"/>
        </w:rPr>
      </w:pPr>
      <w:r>
        <w:rPr>
          <w:rFonts w:hint="eastAsia" w:ascii="宋体" w:hAnsi="宋体"/>
          <w:szCs w:val="21"/>
        </w:rPr>
        <w:t xml:space="preserve">我单位完全符合《中华人民共和国政府采购法》第二十二条规定及本项目所要求的资格条件：              </w:t>
      </w:r>
    </w:p>
    <w:p>
      <w:pPr>
        <w:spacing w:line="360" w:lineRule="auto"/>
        <w:ind w:firstLine="840" w:firstLineChars="400"/>
        <w:rPr>
          <w:rFonts w:ascii="宋体" w:hAnsi="宋体"/>
          <w:szCs w:val="21"/>
        </w:rPr>
      </w:pPr>
      <w:r>
        <w:rPr>
          <w:rFonts w:hint="eastAsia" w:ascii="宋体" w:hAnsi="宋体"/>
          <w:szCs w:val="21"/>
        </w:rPr>
        <w:t xml:space="preserve">（1）具有独立承担民事责任的能力；                                          </w:t>
      </w:r>
    </w:p>
    <w:p>
      <w:pPr>
        <w:spacing w:line="360" w:lineRule="auto"/>
        <w:ind w:firstLine="840" w:firstLineChars="400"/>
        <w:rPr>
          <w:rFonts w:ascii="宋体" w:hAnsi="宋体"/>
          <w:szCs w:val="21"/>
        </w:rPr>
      </w:pPr>
      <w:r>
        <w:rPr>
          <w:rFonts w:hint="eastAsia" w:ascii="宋体" w:hAnsi="宋体"/>
          <w:szCs w:val="21"/>
        </w:rPr>
        <w:t xml:space="preserve">（2）具有良好的商业信誉和健全的财务会计制度；                              </w:t>
      </w:r>
    </w:p>
    <w:p>
      <w:pPr>
        <w:spacing w:line="360" w:lineRule="auto"/>
        <w:ind w:left="420" w:leftChars="200" w:firstLine="420" w:firstLineChars="200"/>
        <w:rPr>
          <w:rFonts w:ascii="宋体" w:hAnsi="宋体"/>
          <w:szCs w:val="21"/>
        </w:rPr>
      </w:pPr>
      <w:r>
        <w:rPr>
          <w:rFonts w:hint="eastAsia" w:ascii="宋体" w:hAnsi="宋体"/>
          <w:szCs w:val="21"/>
        </w:rPr>
        <w:t xml:space="preserve">（3）具有履行合同所必需的设备和专业技术能力；                              </w:t>
      </w:r>
    </w:p>
    <w:p>
      <w:pPr>
        <w:spacing w:line="360" w:lineRule="auto"/>
        <w:ind w:left="420" w:leftChars="200" w:firstLine="420" w:firstLineChars="200"/>
        <w:rPr>
          <w:rFonts w:ascii="宋体" w:hAnsi="宋体"/>
          <w:szCs w:val="21"/>
        </w:rPr>
      </w:pPr>
      <w:r>
        <w:rPr>
          <w:rFonts w:hint="eastAsia" w:ascii="宋体" w:hAnsi="宋体"/>
          <w:szCs w:val="21"/>
        </w:rPr>
        <w:t xml:space="preserve">（4）有依法缴纳税收和社会保障资金的良好记录；                              </w:t>
      </w:r>
    </w:p>
    <w:p>
      <w:pPr>
        <w:spacing w:line="360" w:lineRule="auto"/>
        <w:ind w:left="420" w:leftChars="200" w:firstLine="420" w:firstLineChars="200"/>
        <w:rPr>
          <w:rFonts w:ascii="宋体" w:hAnsi="宋体"/>
          <w:szCs w:val="21"/>
        </w:rPr>
      </w:pPr>
      <w:r>
        <w:rPr>
          <w:rFonts w:hint="eastAsia" w:ascii="宋体" w:hAnsi="宋体"/>
          <w:szCs w:val="21"/>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840" w:firstLineChars="400"/>
        <w:rPr>
          <w:rFonts w:ascii="宋体" w:hAnsi="宋体"/>
          <w:szCs w:val="21"/>
        </w:rPr>
      </w:pPr>
      <w:r>
        <w:rPr>
          <w:rFonts w:hint="eastAsia" w:ascii="宋体" w:hAnsi="宋体"/>
          <w:szCs w:val="21"/>
        </w:rPr>
        <w:t xml:space="preserve">（6）我单位不在财政部门依法作出的禁止参加政府采购活动的行政处罚期限内；                       </w:t>
      </w:r>
    </w:p>
    <w:p>
      <w:pPr>
        <w:spacing w:line="360" w:lineRule="auto"/>
        <w:ind w:left="420" w:leftChars="200" w:firstLine="420" w:firstLineChars="200"/>
        <w:rPr>
          <w:rFonts w:ascii="宋体" w:hAnsi="宋体"/>
          <w:szCs w:val="21"/>
        </w:rPr>
      </w:pPr>
      <w:r>
        <w:rPr>
          <w:rFonts w:hint="eastAsia" w:ascii="宋体" w:hAnsi="宋体"/>
          <w:szCs w:val="21"/>
        </w:rPr>
        <w:t xml:space="preserve">（7）符合法律、行政法规规定的其他条件。                                    </w:t>
      </w:r>
    </w:p>
    <w:p>
      <w:pPr>
        <w:spacing w:line="360" w:lineRule="auto"/>
        <w:ind w:left="422" w:firstLine="420" w:firstLineChars="200"/>
        <w:rPr>
          <w:rFonts w:ascii="宋体" w:hAnsi="宋体"/>
          <w:szCs w:val="21"/>
        </w:rPr>
      </w:pPr>
      <w:r>
        <w:rPr>
          <w:rFonts w:hint="eastAsia" w:ascii="宋体" w:hAnsi="宋体"/>
          <w:szCs w:val="21"/>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left="422"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left="422"/>
        <w:rPr>
          <w:rFonts w:ascii="宋体" w:hAnsi="宋体"/>
          <w:szCs w:val="21"/>
        </w:rPr>
      </w:pPr>
    </w:p>
    <w:p>
      <w:pPr>
        <w:spacing w:line="360" w:lineRule="auto"/>
        <w:ind w:left="422"/>
        <w:rPr>
          <w:rFonts w:ascii="宋体" w:hAnsi="宋体"/>
          <w:szCs w:val="21"/>
        </w:rPr>
      </w:pPr>
    </w:p>
    <w:p>
      <w:pPr>
        <w:spacing w:line="360" w:lineRule="auto"/>
        <w:ind w:firstLine="420" w:firstLineChars="200"/>
        <w:jc w:val="right"/>
        <w:rPr>
          <w:rFonts w:ascii="宋体" w:hAnsi="宋体"/>
          <w:szCs w:val="21"/>
        </w:rPr>
      </w:pPr>
      <w:r>
        <w:rPr>
          <w:rFonts w:hint="eastAsia" w:ascii="宋体" w:hAnsi="宋体"/>
          <w:szCs w:val="21"/>
        </w:rPr>
        <w:t xml:space="preserve">供应商公章：_______________________                                           </w:t>
      </w:r>
    </w:p>
    <w:p>
      <w:pPr>
        <w:spacing w:line="360" w:lineRule="auto"/>
        <w:jc w:val="center"/>
        <w:outlineLvl w:val="2"/>
        <w:rPr>
          <w:rFonts w:asciiTheme="minorEastAsia" w:hAnsiTheme="minorEastAsia" w:eastAsiaTheme="minorEastAsia"/>
          <w:b/>
          <w:sz w:val="24"/>
        </w:rPr>
      </w:pPr>
      <w:r>
        <w:rPr>
          <w:rFonts w:hint="eastAsia" w:hAnsi="宋体"/>
          <w:szCs w:val="21"/>
        </w:rPr>
        <w:t xml:space="preserve">               </w:t>
      </w:r>
      <w:r>
        <w:rPr>
          <w:rFonts w:hAnsi="宋体"/>
          <w:szCs w:val="21"/>
        </w:rPr>
        <w:t xml:space="preserve">                                 </w:t>
      </w:r>
      <w:r>
        <w:rPr>
          <w:rFonts w:hint="eastAsia" w:hAnsi="宋体"/>
          <w:szCs w:val="21"/>
        </w:rPr>
        <w:t xml:space="preserve"> 日期：       年     月     日</w:t>
      </w:r>
    </w:p>
    <w:p>
      <w:pPr>
        <w:pStyle w:val="4"/>
        <w:pageBreakBefore w:val="0"/>
        <w:kinsoku/>
        <w:wordWrap/>
        <w:overflowPunct/>
        <w:topLinePunct w:val="0"/>
        <w:bidi w:val="0"/>
        <w:spacing w:line="240" w:lineRule="auto"/>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10"/>
        <w:pageBreakBefore w:val="0"/>
        <w:kinsoku/>
        <w:wordWrap/>
        <w:overflowPunct/>
        <w:topLinePunct w:val="0"/>
        <w:bidi w:val="0"/>
        <w:adjustRightInd w:val="0"/>
        <w:snapToGrid w:val="0"/>
        <w:spacing w:beforeAutospacing="0" w:after="0" w:afterLines="0" w:afterAutospacing="0" w:line="240" w:lineRule="auto"/>
        <w:jc w:val="center"/>
        <w:rPr>
          <w:rFonts w:hint="eastAsia" w:ascii="宋体" w:hAnsi="宋体" w:eastAsia="宋体" w:cs="宋体"/>
          <w:color w:val="auto"/>
          <w:sz w:val="30"/>
          <w:highlight w:val="none"/>
        </w:rPr>
      </w:pPr>
    </w:p>
    <w:p>
      <w:pPr>
        <w:pStyle w:val="10"/>
        <w:pageBreakBefore w:val="0"/>
        <w:kinsoku/>
        <w:wordWrap/>
        <w:overflowPunct/>
        <w:topLinePunct w:val="0"/>
        <w:bidi w:val="0"/>
        <w:adjustRightInd w:val="0"/>
        <w:snapToGrid w:val="0"/>
        <w:spacing w:beforeAutospacing="0" w:after="0" w:afterLines="0" w:afterAutospacing="0" w:line="240" w:lineRule="auto"/>
        <w:jc w:val="center"/>
        <w:rPr>
          <w:rFonts w:hint="eastAsia" w:ascii="宋体" w:hAnsi="宋体" w:eastAsia="宋体" w:cs="宋体"/>
          <w:color w:val="auto"/>
          <w:sz w:val="30"/>
          <w:highlight w:val="none"/>
        </w:rPr>
      </w:pPr>
    </w:p>
    <w:p>
      <w:pPr>
        <w:pStyle w:val="10"/>
        <w:pageBreakBefore w:val="0"/>
        <w:kinsoku/>
        <w:wordWrap/>
        <w:overflowPunct/>
        <w:topLinePunct w:val="0"/>
        <w:bidi w:val="0"/>
        <w:adjustRightInd w:val="0"/>
        <w:snapToGrid w:val="0"/>
        <w:spacing w:beforeAutospacing="0" w:after="0" w:afterLines="0" w:afterAutospacing="0" w:line="240" w:lineRule="auto"/>
        <w:jc w:val="center"/>
        <w:rPr>
          <w:rFonts w:hint="eastAsia" w:ascii="宋体" w:hAnsi="宋体" w:eastAsia="宋体" w:cs="宋体"/>
          <w:color w:val="auto"/>
          <w:sz w:val="30"/>
          <w:highlight w:val="none"/>
        </w:rPr>
      </w:pPr>
    </w:p>
    <w:p>
      <w:pPr>
        <w:pStyle w:val="10"/>
        <w:pageBreakBefore w:val="0"/>
        <w:kinsoku/>
        <w:wordWrap/>
        <w:overflowPunct/>
        <w:topLinePunct w:val="0"/>
        <w:bidi w:val="0"/>
        <w:adjustRightInd w:val="0"/>
        <w:snapToGrid w:val="0"/>
        <w:spacing w:beforeAutospacing="0" w:after="0" w:afterLines="0" w:afterAutospacing="0" w:line="240" w:lineRule="auto"/>
        <w:jc w:val="center"/>
        <w:rPr>
          <w:rFonts w:hint="eastAsia" w:ascii="宋体" w:hAnsi="宋体" w:eastAsia="宋体" w:cs="宋体"/>
          <w:color w:val="auto"/>
          <w:sz w:val="30"/>
          <w:highlight w:val="none"/>
        </w:rPr>
      </w:pPr>
    </w:p>
    <w:p>
      <w:pPr>
        <w:pStyle w:val="10"/>
        <w:pageBreakBefore w:val="0"/>
        <w:kinsoku/>
        <w:wordWrap/>
        <w:overflowPunct/>
        <w:topLinePunct w:val="0"/>
        <w:bidi w:val="0"/>
        <w:adjustRightInd w:val="0"/>
        <w:snapToGrid w:val="0"/>
        <w:spacing w:beforeAutospacing="0" w:after="0" w:afterLines="0" w:afterAutospacing="0" w:line="240" w:lineRule="auto"/>
        <w:jc w:val="center"/>
        <w:rPr>
          <w:rFonts w:hint="eastAsia" w:ascii="宋体" w:hAnsi="宋体" w:eastAsia="宋体" w:cs="宋体"/>
          <w:color w:val="auto"/>
          <w:sz w:val="30"/>
          <w:highlight w:val="none"/>
        </w:rPr>
      </w:pPr>
    </w:p>
    <w:p>
      <w:pPr>
        <w:pStyle w:val="10"/>
        <w:pageBreakBefore w:val="0"/>
        <w:kinsoku/>
        <w:wordWrap/>
        <w:overflowPunct/>
        <w:topLinePunct w:val="0"/>
        <w:bidi w:val="0"/>
        <w:adjustRightInd w:val="0"/>
        <w:snapToGrid w:val="0"/>
        <w:spacing w:beforeAutospacing="0" w:after="0" w:afterLines="0" w:afterAutospacing="0" w:line="240" w:lineRule="auto"/>
        <w:jc w:val="center"/>
        <w:rPr>
          <w:rFonts w:hint="eastAsia" w:ascii="宋体" w:hAnsi="宋体" w:eastAsia="宋体" w:cs="宋体"/>
          <w:color w:val="auto"/>
          <w:sz w:val="30"/>
          <w:szCs w:val="30"/>
          <w:highlight w:val="none"/>
        </w:rPr>
      </w:pPr>
      <w:r>
        <w:rPr>
          <w:rStyle w:val="78"/>
          <w:rFonts w:hint="eastAsia"/>
          <w:color w:val="auto"/>
          <w:highlight w:val="none"/>
          <w:lang w:eastAsia="zh-CN"/>
        </w:rPr>
        <w:t>（十</w:t>
      </w:r>
      <w:r>
        <w:rPr>
          <w:rStyle w:val="78"/>
          <w:rFonts w:hint="eastAsia"/>
          <w:color w:val="auto"/>
          <w:highlight w:val="none"/>
          <w:lang w:val="en-US" w:eastAsia="zh-CN"/>
        </w:rPr>
        <w:t>三</w:t>
      </w:r>
      <w:r>
        <w:rPr>
          <w:rStyle w:val="78"/>
          <w:rFonts w:hint="eastAsia"/>
          <w:color w:val="auto"/>
          <w:highlight w:val="none"/>
          <w:lang w:eastAsia="zh-CN"/>
        </w:rPr>
        <w:t>）谈判响应人</w:t>
      </w:r>
      <w:r>
        <w:rPr>
          <w:rStyle w:val="78"/>
          <w:rFonts w:hint="eastAsia"/>
          <w:color w:val="auto"/>
          <w:highlight w:val="none"/>
        </w:rPr>
        <w:t>认为需要提供的其他资料</w:t>
      </w:r>
      <w:bookmarkEnd w:id="352"/>
      <w:bookmarkEnd w:id="353"/>
      <w:bookmarkEnd w:id="354"/>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center"/>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30"/>
          <w:szCs w:val="30"/>
          <w:highlight w:val="none"/>
          <w:lang w:eastAsia="zh-CN"/>
        </w:rPr>
      </w:pPr>
    </w:p>
    <w:p>
      <w:pPr>
        <w:pStyle w:val="16"/>
        <w:pageBreakBefore w:val="0"/>
        <w:kinsoku/>
        <w:wordWrap/>
        <w:overflowPunct/>
        <w:topLinePunct w:val="0"/>
        <w:bidi w:val="0"/>
        <w:spacing w:beforeAutospacing="0" w:afterAutospacing="0" w:line="240" w:lineRule="auto"/>
        <w:jc w:val="both"/>
        <w:rPr>
          <w:rFonts w:hint="eastAsia" w:ascii="宋体" w:hAnsi="宋体" w:eastAsia="宋体" w:cs="宋体"/>
          <w:color w:val="auto"/>
          <w:sz w:val="30"/>
          <w:szCs w:val="30"/>
          <w:highlight w:val="none"/>
          <w:lang w:eastAsia="zh-CN"/>
        </w:rPr>
      </w:pPr>
    </w:p>
    <w:p>
      <w:pPr>
        <w:pStyle w:val="4"/>
        <w:pageBreakBefore w:val="0"/>
        <w:kinsoku/>
        <w:wordWrap/>
        <w:overflowPunct/>
        <w:topLinePunct w:val="0"/>
        <w:bidi w:val="0"/>
        <w:spacing w:line="240" w:lineRule="auto"/>
        <w:rPr>
          <w:rFonts w:hint="eastAsia"/>
          <w:color w:val="auto"/>
          <w:highlight w:val="none"/>
        </w:rPr>
      </w:pPr>
      <w:bookmarkStart w:id="355" w:name="_Toc17668"/>
      <w:bookmarkStart w:id="356" w:name="_Toc29097"/>
      <w:bookmarkStart w:id="357" w:name="_Toc9334"/>
      <w:bookmarkStart w:id="358" w:name="_Toc14852_WPSOffice_Level1"/>
      <w:r>
        <w:rPr>
          <w:rFonts w:hint="eastAsia"/>
          <w:color w:val="auto"/>
          <w:highlight w:val="none"/>
          <w:lang w:eastAsia="zh-CN"/>
        </w:rPr>
        <w:t>（十</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施工组织设计</w:t>
      </w:r>
      <w:bookmarkEnd w:id="343"/>
      <w:bookmarkEnd w:id="344"/>
      <w:bookmarkEnd w:id="345"/>
      <w:bookmarkEnd w:id="355"/>
      <w:bookmarkEnd w:id="356"/>
      <w:bookmarkEnd w:id="357"/>
      <w:bookmarkEnd w:id="358"/>
    </w:p>
    <w:p>
      <w:pPr>
        <w:pStyle w:val="6"/>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2"/>
        <w:textAlignment w:val="auto"/>
        <w:outlineLvl w:val="9"/>
        <w:rPr>
          <w:rFonts w:hint="eastAsia" w:ascii="宋体" w:hAnsi="宋体" w:eastAsia="宋体" w:cs="宋体"/>
          <w:b/>
          <w:bCs/>
          <w:color w:val="auto"/>
          <w:highlight w:val="none"/>
        </w:rPr>
      </w:pPr>
      <w:r>
        <w:rPr>
          <w:rFonts w:hint="eastAsia" w:hAnsi="宋体" w:cs="宋体"/>
          <w:b/>
          <w:bCs/>
          <w:color w:val="auto"/>
          <w:highlight w:val="none"/>
          <w:lang w:eastAsia="zh-CN"/>
        </w:rPr>
        <w:t>谈判响应人</w:t>
      </w:r>
      <w:r>
        <w:rPr>
          <w:rFonts w:hint="eastAsia" w:ascii="宋体" w:hAnsi="宋体" w:eastAsia="宋体" w:cs="宋体"/>
          <w:b/>
          <w:bCs/>
          <w:color w:val="auto"/>
          <w:highlight w:val="none"/>
        </w:rPr>
        <w:t>编制施工组织设计，包括</w:t>
      </w:r>
      <w:r>
        <w:rPr>
          <w:rFonts w:hint="eastAsia" w:hAnsi="宋体" w:cs="宋体"/>
          <w:b/>
          <w:bCs/>
          <w:color w:val="auto"/>
          <w:highlight w:val="none"/>
          <w:lang w:eastAsia="zh-CN"/>
        </w:rPr>
        <w:t>竞争性谈判文件</w:t>
      </w:r>
      <w:r>
        <w:rPr>
          <w:rFonts w:hint="eastAsia" w:ascii="宋体" w:hAnsi="宋体" w:eastAsia="宋体" w:cs="宋体"/>
          <w:b/>
          <w:bCs/>
          <w:color w:val="auto"/>
          <w:highlight w:val="none"/>
        </w:rPr>
        <w:t>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w:t>
      </w:r>
      <w:r>
        <w:rPr>
          <w:rFonts w:hint="eastAsia" w:ascii="宋体" w:hAnsi="宋体" w:eastAsia="宋体" w:cs="宋体"/>
          <w:b/>
          <w:bCs/>
          <w:color w:val="auto"/>
          <w:highlight w:val="none"/>
          <w:lang w:eastAsia="zh-CN"/>
        </w:rPr>
        <w:t>、如有“危大工程”和“超危大工程”，则须补充完善“危大工程”和“超危大工程”清单，并提供相应的安全技术措施。</w:t>
      </w:r>
      <w:r>
        <w:rPr>
          <w:rFonts w:hint="eastAsia" w:ascii="宋体" w:hAnsi="宋体" w:eastAsia="宋体" w:cs="宋体"/>
          <w:b/>
          <w:bCs/>
          <w:color w:val="auto"/>
          <w:highlight w:val="none"/>
        </w:rPr>
        <w:t>如冬雨季施工技术措施、减少扰民噪音、降低环境污染技术措施、地下管线及其他地上地下设施的保护加固措施等。包括但不限于以下章节：</w:t>
      </w:r>
    </w:p>
    <w:p>
      <w:pPr>
        <w:pStyle w:val="16"/>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359" w:name="_Toc4617_WPSOffice_Level1"/>
      <w:bookmarkStart w:id="360" w:name="_Toc22798_WPSOffice_Level1"/>
      <w:r>
        <w:rPr>
          <w:rFonts w:hint="eastAsia" w:ascii="宋体" w:hAnsi="宋体" w:eastAsia="宋体" w:cs="宋体"/>
          <w:color w:val="auto"/>
          <w:sz w:val="24"/>
          <w:szCs w:val="24"/>
          <w:highlight w:val="none"/>
        </w:rPr>
        <w:t>工程概况</w:t>
      </w:r>
      <w:bookmarkEnd w:id="359"/>
      <w:bookmarkEnd w:id="360"/>
    </w:p>
    <w:p>
      <w:pPr>
        <w:pStyle w:val="16"/>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361" w:name="_Toc6935_WPSOffice_Level1"/>
      <w:bookmarkStart w:id="362" w:name="_Toc26141_WPSOffice_Level1"/>
      <w:r>
        <w:rPr>
          <w:rFonts w:hint="eastAsia" w:ascii="宋体" w:hAnsi="宋体" w:eastAsia="宋体" w:cs="宋体"/>
          <w:color w:val="auto"/>
          <w:sz w:val="24"/>
          <w:szCs w:val="24"/>
          <w:highlight w:val="none"/>
        </w:rPr>
        <w:t>主要施工方法</w:t>
      </w:r>
      <w:bookmarkEnd w:id="361"/>
      <w:bookmarkEnd w:id="362"/>
    </w:p>
    <w:p>
      <w:pPr>
        <w:pStyle w:val="16"/>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363" w:name="_Toc27916_WPSOffice_Level1"/>
      <w:bookmarkStart w:id="364" w:name="_Toc2536_WPSOffice_Level1"/>
      <w:r>
        <w:rPr>
          <w:rFonts w:hint="eastAsia" w:ascii="宋体" w:hAnsi="宋体" w:eastAsia="宋体" w:cs="宋体"/>
          <w:color w:val="auto"/>
          <w:sz w:val="24"/>
          <w:szCs w:val="24"/>
          <w:highlight w:val="none"/>
        </w:rPr>
        <w:t>拟投入的主要物资计划</w:t>
      </w:r>
      <w:bookmarkEnd w:id="363"/>
      <w:bookmarkEnd w:id="364"/>
    </w:p>
    <w:p>
      <w:pPr>
        <w:pStyle w:val="16"/>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365" w:name="_Toc24861_WPSOffice_Level1"/>
      <w:bookmarkStart w:id="366" w:name="_Toc4334_WPSOffice_Level1"/>
      <w:r>
        <w:rPr>
          <w:rFonts w:hint="eastAsia" w:ascii="宋体" w:hAnsi="宋体" w:eastAsia="宋体" w:cs="宋体"/>
          <w:color w:val="auto"/>
          <w:sz w:val="24"/>
          <w:szCs w:val="24"/>
          <w:highlight w:val="none"/>
        </w:rPr>
        <w:t>拟投入的主要施工机械、设备计划</w:t>
      </w:r>
      <w:bookmarkEnd w:id="365"/>
      <w:bookmarkEnd w:id="366"/>
    </w:p>
    <w:p>
      <w:pPr>
        <w:pStyle w:val="16"/>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367" w:name="_Toc27567_WPSOffice_Level1"/>
      <w:bookmarkStart w:id="368" w:name="_Toc29238_WPSOffice_Level1"/>
      <w:r>
        <w:rPr>
          <w:rFonts w:hint="eastAsia" w:ascii="宋体" w:hAnsi="宋体" w:eastAsia="宋体" w:cs="宋体"/>
          <w:color w:val="auto"/>
          <w:sz w:val="24"/>
          <w:szCs w:val="24"/>
          <w:highlight w:val="none"/>
        </w:rPr>
        <w:t>劳动力安排计划及劳动力计划表</w:t>
      </w:r>
      <w:bookmarkEnd w:id="367"/>
      <w:bookmarkEnd w:id="368"/>
    </w:p>
    <w:p>
      <w:pPr>
        <w:pStyle w:val="16"/>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369" w:name="_Toc21401_WPSOffice_Level1"/>
      <w:bookmarkStart w:id="370" w:name="_Toc22789_WPSOffice_Level1"/>
      <w:r>
        <w:rPr>
          <w:rFonts w:hint="eastAsia" w:ascii="宋体" w:hAnsi="宋体" w:eastAsia="宋体" w:cs="宋体"/>
          <w:color w:val="auto"/>
          <w:sz w:val="24"/>
          <w:szCs w:val="24"/>
          <w:highlight w:val="none"/>
        </w:rPr>
        <w:t>确保工程质量的技术组织措施</w:t>
      </w:r>
      <w:bookmarkEnd w:id="369"/>
      <w:bookmarkEnd w:id="370"/>
    </w:p>
    <w:p>
      <w:pPr>
        <w:pStyle w:val="16"/>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371" w:name="_Toc7278_WPSOffice_Level1"/>
      <w:bookmarkStart w:id="372" w:name="_Toc28756_WPSOffice_Level1"/>
      <w:r>
        <w:rPr>
          <w:rFonts w:hint="eastAsia" w:ascii="宋体" w:hAnsi="宋体" w:eastAsia="宋体" w:cs="宋体"/>
          <w:color w:val="auto"/>
          <w:sz w:val="24"/>
          <w:szCs w:val="24"/>
          <w:highlight w:val="none"/>
        </w:rPr>
        <w:t>确保安全生产的技术组织措施</w:t>
      </w:r>
      <w:bookmarkEnd w:id="371"/>
      <w:bookmarkEnd w:id="372"/>
    </w:p>
    <w:p>
      <w:pPr>
        <w:pStyle w:val="16"/>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373" w:name="_Toc14822_WPSOffice_Level1"/>
      <w:bookmarkStart w:id="374" w:name="_Toc17446_WPSOffice_Level1"/>
      <w:r>
        <w:rPr>
          <w:rFonts w:hint="eastAsia" w:ascii="宋体" w:hAnsi="宋体" w:eastAsia="宋体" w:cs="宋体"/>
          <w:color w:val="auto"/>
          <w:sz w:val="24"/>
          <w:szCs w:val="24"/>
          <w:highlight w:val="none"/>
        </w:rPr>
        <w:t>确保工期的技术组织措施</w:t>
      </w:r>
      <w:bookmarkEnd w:id="373"/>
      <w:bookmarkEnd w:id="374"/>
    </w:p>
    <w:p>
      <w:pPr>
        <w:pStyle w:val="16"/>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375" w:name="_Toc17566_WPSOffice_Level1"/>
      <w:bookmarkStart w:id="376" w:name="_Toc19590_WPSOffice_Level1"/>
      <w:r>
        <w:rPr>
          <w:rFonts w:hint="eastAsia" w:ascii="宋体" w:hAnsi="宋体" w:eastAsia="宋体" w:cs="宋体"/>
          <w:color w:val="auto"/>
          <w:sz w:val="24"/>
          <w:szCs w:val="24"/>
          <w:highlight w:val="none"/>
        </w:rPr>
        <w:t>确保文明施工的技术组织措施</w:t>
      </w:r>
      <w:bookmarkEnd w:id="375"/>
      <w:bookmarkEnd w:id="376"/>
    </w:p>
    <w:p>
      <w:pPr>
        <w:pStyle w:val="16"/>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377" w:name="_Toc6847_WPSOffice_Level1"/>
      <w:bookmarkStart w:id="378" w:name="_Toc13275_WPSOffice_Level1"/>
      <w:r>
        <w:rPr>
          <w:rFonts w:hint="eastAsia" w:ascii="宋体" w:hAnsi="宋体" w:eastAsia="宋体" w:cs="宋体"/>
          <w:color w:val="auto"/>
          <w:sz w:val="24"/>
          <w:szCs w:val="24"/>
          <w:highlight w:val="none"/>
        </w:rPr>
        <w:t>工程施工的重点和难点</w:t>
      </w:r>
      <w:bookmarkEnd w:id="377"/>
      <w:bookmarkEnd w:id="378"/>
    </w:p>
    <w:p>
      <w:pPr>
        <w:pStyle w:val="16"/>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379" w:name="_Toc2108_WPSOffice_Level1"/>
      <w:bookmarkStart w:id="380" w:name="_Toc9959_WPSOffice_Level1"/>
      <w:r>
        <w:rPr>
          <w:rFonts w:hint="eastAsia" w:ascii="宋体" w:hAnsi="宋体" w:eastAsia="宋体" w:cs="宋体"/>
          <w:color w:val="auto"/>
          <w:sz w:val="24"/>
          <w:szCs w:val="24"/>
          <w:highlight w:val="none"/>
        </w:rPr>
        <w:t>施工总平面布置图</w:t>
      </w:r>
      <w:bookmarkEnd w:id="379"/>
      <w:bookmarkEnd w:id="380"/>
    </w:p>
    <w:p>
      <w:pPr>
        <w:pStyle w:val="16"/>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bookmarkStart w:id="381" w:name="_Toc4975_WPSOffice_Level1"/>
      <w:bookmarkStart w:id="382" w:name="_Toc14332_WPSOffice_Level1"/>
      <w:r>
        <w:rPr>
          <w:rFonts w:hint="eastAsia" w:hAnsi="宋体" w:cs="宋体"/>
          <w:color w:val="auto"/>
          <w:sz w:val="24"/>
          <w:szCs w:val="24"/>
          <w:highlight w:val="none"/>
          <w:lang w:eastAsia="zh-CN"/>
        </w:rPr>
        <w:t>谈判响应人</w:t>
      </w:r>
      <w:r>
        <w:rPr>
          <w:rFonts w:hint="eastAsia" w:ascii="宋体" w:hAnsi="宋体" w:eastAsia="宋体" w:cs="宋体"/>
          <w:color w:val="auto"/>
          <w:sz w:val="24"/>
          <w:szCs w:val="24"/>
          <w:highlight w:val="none"/>
        </w:rPr>
        <w:t>认为有必要说明的其他内容</w:t>
      </w:r>
      <w:bookmarkEnd w:id="381"/>
      <w:bookmarkEnd w:id="382"/>
    </w:p>
    <w:p>
      <w:pPr>
        <w:pStyle w:val="3"/>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color w:val="auto"/>
          <w:sz w:val="36"/>
          <w:szCs w:val="36"/>
          <w:highlight w:val="none"/>
        </w:rPr>
      </w:pPr>
      <w:bookmarkStart w:id="383" w:name="_Toc5339"/>
      <w:bookmarkStart w:id="384" w:name="_Toc208106841"/>
      <w:bookmarkStart w:id="385" w:name="_Toc9473_WPSOffice_Level1"/>
      <w:bookmarkStart w:id="386" w:name="_Toc20596"/>
      <w:bookmarkStart w:id="387" w:name="_Toc32263_WPSOffice_Level1"/>
    </w:p>
    <w:p>
      <w:pPr>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3"/>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49"/>
        <w:rPr>
          <w:rFonts w:hint="eastAsia" w:ascii="宋体" w:hAnsi="宋体" w:eastAsia="宋体" w:cs="宋体"/>
          <w:b/>
          <w:color w:val="auto"/>
          <w:sz w:val="36"/>
          <w:szCs w:val="36"/>
          <w:highlight w:val="none"/>
        </w:rPr>
      </w:pPr>
    </w:p>
    <w:p>
      <w:pPr>
        <w:pStyle w:val="49"/>
        <w:rPr>
          <w:rFonts w:hint="eastAsia" w:ascii="宋体" w:hAnsi="宋体" w:eastAsia="宋体" w:cs="宋体"/>
          <w:b/>
          <w:color w:val="auto"/>
          <w:sz w:val="36"/>
          <w:szCs w:val="36"/>
          <w:highlight w:val="none"/>
        </w:rPr>
      </w:pPr>
    </w:p>
    <w:p>
      <w:pPr>
        <w:pStyle w:val="3"/>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color w:val="auto"/>
          <w:sz w:val="36"/>
          <w:szCs w:val="36"/>
          <w:highlight w:val="none"/>
        </w:rPr>
      </w:pPr>
      <w:bookmarkStart w:id="388" w:name="_Toc21713"/>
      <w:r>
        <w:rPr>
          <w:rFonts w:hint="eastAsia" w:ascii="宋体" w:hAnsi="宋体" w:eastAsia="宋体" w:cs="宋体"/>
          <w:b/>
          <w:color w:val="auto"/>
          <w:sz w:val="36"/>
          <w:szCs w:val="36"/>
          <w:highlight w:val="none"/>
        </w:rPr>
        <w:t>第五章</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工程技术经济要求</w:t>
      </w:r>
      <w:bookmarkEnd w:id="383"/>
      <w:bookmarkEnd w:id="384"/>
      <w:bookmarkEnd w:id="385"/>
      <w:bookmarkEnd w:id="386"/>
      <w:bookmarkEnd w:id="387"/>
      <w:bookmarkEnd w:id="388"/>
    </w:p>
    <w:p>
      <w:pPr>
        <w:pStyle w:val="79"/>
        <w:pageBreakBefore w:val="0"/>
        <w:kinsoku/>
        <w:wordWrap/>
        <w:overflowPunct/>
        <w:topLinePunct w:val="0"/>
        <w:bidi w:val="0"/>
        <w:spacing w:beforeAutospacing="0" w:afterAutospacing="0" w:line="240" w:lineRule="auto"/>
        <w:ind w:firstLine="480" w:firstLineChars="20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详见</w:t>
      </w:r>
      <w:r>
        <w:rPr>
          <w:rFonts w:hint="eastAsia" w:ascii="宋体" w:hAnsi="宋体" w:eastAsia="宋体" w:cs="宋体"/>
          <w:color w:val="auto"/>
          <w:szCs w:val="24"/>
          <w:highlight w:val="none"/>
          <w:lang w:eastAsia="zh-CN"/>
        </w:rPr>
        <w:t>施工图设计文件</w:t>
      </w:r>
      <w:r>
        <w:rPr>
          <w:rFonts w:hint="eastAsia" w:ascii="宋体" w:hAnsi="宋体" w:eastAsia="宋体" w:cs="宋体"/>
          <w:color w:val="auto"/>
          <w:szCs w:val="24"/>
          <w:highlight w:val="none"/>
        </w:rPr>
        <w:t>、相关规范</w:t>
      </w:r>
      <w:bookmarkStart w:id="389" w:name="_Toc4190"/>
      <w:bookmarkStart w:id="390" w:name="_Toc208106842"/>
    </w:p>
    <w:p>
      <w:pPr>
        <w:pStyle w:val="79"/>
        <w:pageBreakBefore w:val="0"/>
        <w:kinsoku/>
        <w:wordWrap/>
        <w:overflowPunct/>
        <w:topLinePunct w:val="0"/>
        <w:bidi w:val="0"/>
        <w:spacing w:beforeAutospacing="0" w:afterAutospacing="0" w:line="240" w:lineRule="auto"/>
        <w:ind w:firstLine="723" w:firstLineChars="200"/>
        <w:jc w:val="center"/>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jc w:val="center"/>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jc w:val="center"/>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jc w:val="center"/>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jc w:val="center"/>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jc w:val="center"/>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jc w:val="center"/>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jc w:val="center"/>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jc w:val="center"/>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jc w:val="center"/>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jc w:val="center"/>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jc w:val="center"/>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jc w:val="center"/>
        <w:rPr>
          <w:rFonts w:hint="eastAsia" w:ascii="宋体" w:hAnsi="宋体" w:eastAsia="宋体" w:cs="宋体"/>
          <w:b/>
          <w:color w:val="auto"/>
          <w:sz w:val="36"/>
          <w:szCs w:val="36"/>
          <w:highlight w:val="none"/>
        </w:rPr>
      </w:pPr>
    </w:p>
    <w:p>
      <w:pPr>
        <w:pStyle w:val="79"/>
        <w:pageBreakBefore w:val="0"/>
        <w:tabs>
          <w:tab w:val="left" w:pos="3798"/>
        </w:tabs>
        <w:kinsoku/>
        <w:wordWrap/>
        <w:overflowPunct/>
        <w:topLinePunct w:val="0"/>
        <w:bidi w:val="0"/>
        <w:spacing w:beforeAutospacing="0" w:afterAutospacing="0" w:line="240" w:lineRule="auto"/>
        <w:ind w:firstLine="723" w:firstLineChars="200"/>
        <w:jc w:val="left"/>
        <w:rPr>
          <w:rFonts w:hint="eastAsia" w:ascii="宋体" w:hAnsi="宋体" w:eastAsia="宋体" w:cs="宋体"/>
          <w:b/>
          <w:color w:val="auto"/>
          <w:sz w:val="36"/>
          <w:szCs w:val="36"/>
          <w:highlight w:val="none"/>
          <w:lang w:eastAsia="zh-CN"/>
        </w:rPr>
      </w:pPr>
      <w:r>
        <w:rPr>
          <w:rFonts w:hint="eastAsia" w:hAnsi="宋体" w:eastAsia="宋体" w:cs="宋体"/>
          <w:b/>
          <w:color w:val="auto"/>
          <w:sz w:val="36"/>
          <w:szCs w:val="36"/>
          <w:highlight w:val="none"/>
          <w:lang w:eastAsia="zh-CN"/>
        </w:rPr>
        <w:tab/>
      </w:r>
    </w:p>
    <w:p>
      <w:pPr>
        <w:pStyle w:val="79"/>
        <w:pageBreakBefore w:val="0"/>
        <w:kinsoku/>
        <w:wordWrap/>
        <w:overflowPunct/>
        <w:topLinePunct w:val="0"/>
        <w:bidi w:val="0"/>
        <w:spacing w:beforeAutospacing="0" w:afterAutospacing="0" w:line="240" w:lineRule="auto"/>
        <w:ind w:firstLine="723" w:firstLineChars="200"/>
        <w:jc w:val="center"/>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jc w:val="center"/>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jc w:val="center"/>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jc w:val="center"/>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jc w:val="both"/>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jc w:val="center"/>
        <w:rPr>
          <w:rFonts w:hint="eastAsia" w:ascii="宋体" w:hAnsi="宋体" w:eastAsia="宋体" w:cs="宋体"/>
          <w:b/>
          <w:color w:val="auto"/>
          <w:sz w:val="36"/>
          <w:szCs w:val="36"/>
          <w:highlight w:val="none"/>
        </w:rPr>
      </w:pPr>
    </w:p>
    <w:p>
      <w:pPr>
        <w:pStyle w:val="3"/>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color w:val="auto"/>
          <w:sz w:val="36"/>
          <w:szCs w:val="36"/>
          <w:highlight w:val="none"/>
        </w:rPr>
      </w:pPr>
      <w:bookmarkStart w:id="391" w:name="_Toc12857_WPSOffice_Level1"/>
      <w:bookmarkStart w:id="392" w:name="_Toc12851_WPSOffice_Level1"/>
      <w:bookmarkStart w:id="393" w:name="_Toc3261"/>
      <w:bookmarkStart w:id="394" w:name="_Toc12770"/>
      <w:r>
        <w:rPr>
          <w:rFonts w:hint="eastAsia" w:ascii="宋体" w:hAnsi="宋体" w:eastAsia="宋体" w:cs="宋体"/>
          <w:b/>
          <w:color w:val="auto"/>
          <w:sz w:val="36"/>
          <w:szCs w:val="36"/>
          <w:highlight w:val="none"/>
        </w:rPr>
        <w:t>第六章</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施工图设计文件</w:t>
      </w:r>
      <w:bookmarkEnd w:id="389"/>
      <w:bookmarkEnd w:id="390"/>
      <w:bookmarkEnd w:id="391"/>
      <w:bookmarkEnd w:id="392"/>
      <w:bookmarkEnd w:id="393"/>
      <w:bookmarkEnd w:id="394"/>
    </w:p>
    <w:p>
      <w:pPr>
        <w:pStyle w:val="79"/>
        <w:pageBreakBefore w:val="0"/>
        <w:kinsoku/>
        <w:wordWrap/>
        <w:overflowPunct/>
        <w:topLinePunct w:val="0"/>
        <w:bidi w:val="0"/>
        <w:spacing w:beforeAutospacing="0" w:afterAutospacing="0" w:line="240" w:lineRule="auto"/>
        <w:ind w:firstLine="480" w:firstLineChars="200"/>
        <w:rPr>
          <w:rFonts w:hint="eastAsia" w:ascii="宋体" w:hAnsi="宋体" w:eastAsia="宋体" w:cs="宋体"/>
          <w:color w:val="auto"/>
          <w:szCs w:val="24"/>
          <w:highlight w:val="none"/>
        </w:rPr>
      </w:pPr>
      <w:bookmarkStart w:id="395" w:name="_Toc4498"/>
      <w:bookmarkStart w:id="396" w:name="_Toc208106843"/>
      <w:r>
        <w:rPr>
          <w:rFonts w:hint="eastAsia" w:ascii="宋体" w:hAnsi="宋体" w:eastAsia="宋体" w:cs="宋体"/>
          <w:color w:val="auto"/>
          <w:szCs w:val="24"/>
          <w:highlight w:val="none"/>
        </w:rPr>
        <w:t>1</w:t>
      </w:r>
      <w:r>
        <w:rPr>
          <w:rFonts w:hint="eastAsia" w:hAnsi="宋体" w:eastAsia="宋体" w:cs="宋体"/>
          <w:color w:val="auto"/>
          <w:szCs w:val="24"/>
          <w:highlight w:val="none"/>
          <w:lang w:val="en-US" w:eastAsia="zh-CN"/>
        </w:rPr>
        <w:t>.</w:t>
      </w:r>
      <w:r>
        <w:rPr>
          <w:rFonts w:hint="eastAsia" w:ascii="宋体" w:hAnsi="宋体" w:eastAsia="宋体" w:cs="宋体"/>
          <w:color w:val="auto"/>
          <w:szCs w:val="24"/>
          <w:highlight w:val="none"/>
        </w:rPr>
        <w:t>图纸清单：详见</w:t>
      </w:r>
      <w:r>
        <w:rPr>
          <w:rFonts w:hint="eastAsia" w:hAnsi="宋体" w:cs="宋体"/>
          <w:color w:val="auto"/>
          <w:szCs w:val="24"/>
          <w:highlight w:val="none"/>
          <w:lang w:eastAsia="zh-CN"/>
        </w:rPr>
        <w:t>采购人</w:t>
      </w:r>
      <w:r>
        <w:rPr>
          <w:rFonts w:hint="eastAsia" w:ascii="宋体" w:hAnsi="宋体" w:eastAsia="宋体" w:cs="宋体"/>
          <w:color w:val="auto"/>
          <w:szCs w:val="24"/>
          <w:highlight w:val="none"/>
        </w:rPr>
        <w:t>提供的施工图。</w:t>
      </w:r>
    </w:p>
    <w:p>
      <w:pPr>
        <w:pStyle w:val="79"/>
        <w:pageBreakBefore w:val="0"/>
        <w:kinsoku/>
        <w:wordWrap/>
        <w:overflowPunct/>
        <w:topLinePunct w:val="0"/>
        <w:bidi w:val="0"/>
        <w:spacing w:beforeAutospacing="0" w:afterAutospacing="0" w:line="24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hAnsi="宋体" w:eastAsia="宋体" w:cs="宋体"/>
          <w:color w:val="auto"/>
          <w:szCs w:val="24"/>
          <w:highlight w:val="none"/>
          <w:lang w:val="en-US" w:eastAsia="zh-CN"/>
        </w:rPr>
        <w:t>.</w:t>
      </w:r>
      <w:r>
        <w:rPr>
          <w:rFonts w:hint="eastAsia" w:ascii="宋体" w:hAnsi="宋体" w:eastAsia="宋体" w:cs="宋体"/>
          <w:color w:val="auto"/>
          <w:szCs w:val="24"/>
          <w:highlight w:val="none"/>
        </w:rPr>
        <w:t>工程技术规范清单：详见</w:t>
      </w:r>
      <w:r>
        <w:rPr>
          <w:rFonts w:hint="eastAsia" w:hAnsi="宋体" w:cs="宋体"/>
          <w:color w:val="auto"/>
          <w:szCs w:val="24"/>
          <w:highlight w:val="none"/>
          <w:lang w:eastAsia="zh-CN"/>
        </w:rPr>
        <w:t>采购人</w:t>
      </w:r>
      <w:r>
        <w:rPr>
          <w:rFonts w:hint="eastAsia" w:ascii="宋体" w:hAnsi="宋体" w:eastAsia="宋体" w:cs="宋体"/>
          <w:color w:val="auto"/>
          <w:szCs w:val="24"/>
          <w:highlight w:val="none"/>
        </w:rPr>
        <w:t>提供的施工图中所列。</w:t>
      </w:r>
    </w:p>
    <w:p>
      <w:pPr>
        <w:pStyle w:val="79"/>
        <w:pageBreakBefore w:val="0"/>
        <w:kinsoku/>
        <w:wordWrap/>
        <w:overflowPunct/>
        <w:topLinePunct w:val="0"/>
        <w:bidi w:val="0"/>
        <w:spacing w:beforeAutospacing="0" w:afterAutospacing="0" w:line="24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hAnsi="宋体" w:eastAsia="宋体" w:cs="宋体"/>
          <w:color w:val="auto"/>
          <w:szCs w:val="24"/>
          <w:highlight w:val="none"/>
          <w:lang w:val="en-US" w:eastAsia="zh-CN"/>
        </w:rPr>
        <w:t>.</w:t>
      </w:r>
      <w:r>
        <w:rPr>
          <w:rFonts w:hint="eastAsia" w:ascii="宋体" w:hAnsi="宋体" w:eastAsia="宋体" w:cs="宋体"/>
          <w:color w:val="auto"/>
          <w:szCs w:val="24"/>
          <w:highlight w:val="none"/>
        </w:rPr>
        <w:t>标准图集清单：详见</w:t>
      </w:r>
      <w:r>
        <w:rPr>
          <w:rFonts w:hint="eastAsia" w:hAnsi="宋体" w:cs="宋体"/>
          <w:color w:val="auto"/>
          <w:szCs w:val="24"/>
          <w:highlight w:val="none"/>
          <w:lang w:eastAsia="zh-CN"/>
        </w:rPr>
        <w:t>采购人</w:t>
      </w:r>
      <w:r>
        <w:rPr>
          <w:rFonts w:hint="eastAsia" w:ascii="宋体" w:hAnsi="宋体" w:eastAsia="宋体" w:cs="宋体"/>
          <w:color w:val="auto"/>
          <w:szCs w:val="24"/>
          <w:highlight w:val="none"/>
        </w:rPr>
        <w:t>提供的施工图中所列。</w:t>
      </w:r>
    </w:p>
    <w:p>
      <w:pPr>
        <w:pStyle w:val="79"/>
        <w:pageBreakBefore w:val="0"/>
        <w:kinsoku/>
        <w:wordWrap/>
        <w:overflowPunct/>
        <w:topLinePunct w:val="0"/>
        <w:bidi w:val="0"/>
        <w:spacing w:beforeAutospacing="0" w:afterAutospacing="0" w:line="240" w:lineRule="auto"/>
        <w:ind w:firstLine="723" w:firstLineChars="200"/>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rPr>
          <w:rFonts w:hint="eastAsia" w:ascii="宋体" w:hAnsi="宋体" w:eastAsia="宋体" w:cs="宋体"/>
          <w:b/>
          <w:color w:val="auto"/>
          <w:sz w:val="36"/>
          <w:szCs w:val="36"/>
          <w:highlight w:val="none"/>
        </w:rPr>
      </w:pPr>
    </w:p>
    <w:p>
      <w:pPr>
        <w:pStyle w:val="79"/>
        <w:pageBreakBefore w:val="0"/>
        <w:kinsoku/>
        <w:wordWrap/>
        <w:overflowPunct/>
        <w:topLinePunct w:val="0"/>
        <w:bidi w:val="0"/>
        <w:spacing w:beforeAutospacing="0" w:afterAutospacing="0" w:line="240" w:lineRule="auto"/>
        <w:ind w:firstLine="723" w:firstLineChars="200"/>
        <w:rPr>
          <w:rFonts w:hint="eastAsia" w:ascii="宋体" w:hAnsi="宋体" w:eastAsia="宋体" w:cs="宋体"/>
          <w:b/>
          <w:color w:val="auto"/>
          <w:sz w:val="36"/>
          <w:szCs w:val="36"/>
          <w:highlight w:val="none"/>
        </w:rPr>
      </w:pPr>
    </w:p>
    <w:p>
      <w:pPr>
        <w:pStyle w:val="3"/>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color w:val="auto"/>
          <w:sz w:val="36"/>
          <w:szCs w:val="36"/>
          <w:highlight w:val="none"/>
        </w:rPr>
      </w:pPr>
      <w:bookmarkStart w:id="397" w:name="_Toc10542"/>
      <w:bookmarkStart w:id="398" w:name="_Toc5878"/>
      <w:bookmarkStart w:id="399" w:name="_Toc12343_WPSOffice_Level1"/>
      <w:bookmarkStart w:id="400" w:name="_Toc11895_WPSOffice_Level1"/>
      <w:r>
        <w:rPr>
          <w:rFonts w:hint="eastAsia" w:ascii="宋体" w:hAnsi="宋体" w:eastAsia="宋体" w:cs="宋体"/>
          <w:b/>
          <w:color w:val="auto"/>
          <w:sz w:val="36"/>
          <w:szCs w:val="36"/>
          <w:highlight w:val="none"/>
        </w:rPr>
        <w:t>第七章</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工程量清单</w:t>
      </w:r>
      <w:bookmarkEnd w:id="395"/>
      <w:bookmarkEnd w:id="397"/>
      <w:bookmarkEnd w:id="398"/>
      <w:bookmarkEnd w:id="399"/>
      <w:bookmarkEnd w:id="400"/>
    </w:p>
    <w:p>
      <w:pPr>
        <w:pStyle w:val="80"/>
        <w:pageBreakBefore w:val="0"/>
        <w:kinsoku/>
        <w:wordWrap/>
        <w:overflowPunct/>
        <w:topLinePunct w:val="0"/>
        <w:bidi w:val="0"/>
        <w:spacing w:beforeAutospacing="0" w:afterAutospacing="0" w:line="240" w:lineRule="auto"/>
        <w:jc w:val="center"/>
        <w:rPr>
          <w:rFonts w:hint="eastAsia" w:ascii="宋体" w:hAnsi="宋体" w:eastAsia="宋体" w:cs="宋体"/>
          <w:color w:val="auto"/>
          <w:highlight w:val="none"/>
          <w:lang w:eastAsia="zh-CN"/>
        </w:rPr>
      </w:pPr>
      <w:bookmarkStart w:id="401" w:name="_Toc7742_WPSOffice_Level1"/>
      <w:bookmarkStart w:id="402" w:name="_Toc20737_WPSOffice_Level1"/>
      <w:r>
        <w:rPr>
          <w:rFonts w:hint="eastAsia" w:ascii="宋体" w:hAnsi="宋体" w:eastAsia="宋体" w:cs="宋体"/>
          <w:color w:val="auto"/>
          <w:highlight w:val="none"/>
          <w:lang w:eastAsia="zh-CN"/>
        </w:rPr>
        <w:t>（另附</w:t>
      </w:r>
      <w:bookmarkEnd w:id="396"/>
      <w:r>
        <w:rPr>
          <w:rFonts w:hint="eastAsia" w:ascii="宋体" w:hAnsi="宋体" w:eastAsia="宋体" w:cs="宋体"/>
          <w:color w:val="auto"/>
          <w:highlight w:val="none"/>
          <w:lang w:eastAsia="zh-CN"/>
        </w:rPr>
        <w:t>）</w:t>
      </w:r>
      <w:bookmarkEnd w:id="401"/>
      <w:bookmarkEnd w:id="402"/>
    </w:p>
    <w:p>
      <w:pPr>
        <w:wordWrap w:val="0"/>
        <w:spacing w:line="360" w:lineRule="auto"/>
        <w:ind w:right="480" w:firstLine="630" w:firstLineChars="300"/>
        <w:rPr>
          <w:rFonts w:ascii="宋体" w:hAnsi="宋体" w:cs="宋体"/>
          <w:color w:val="auto"/>
          <w:szCs w:val="21"/>
          <w:highlight w:val="none"/>
        </w:rPr>
      </w:pPr>
    </w:p>
    <w:sectPr>
      <w:headerReference r:id="rId4" w:type="default"/>
      <w:footerReference r:id="rId5" w:type="default"/>
      <w:pgSz w:w="11906" w:h="16838"/>
      <w:pgMar w:top="1417" w:right="1418" w:bottom="1417" w:left="1418" w:header="680"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roman"/>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rPr>
        <w:color w:val="auto"/>
      </w:rPr>
    </w:pPr>
    <w:r>
      <w:rPr>
        <w:color w:val="auto"/>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 共 </w:t>
                          </w:r>
                          <w:r>
                            <w:rPr>
                              <w:rFonts w:hint="eastAsia"/>
                              <w:sz w:val="18"/>
                              <w:lang w:val="en-US" w:eastAsia="zh-CN"/>
                            </w:rPr>
                            <w:t>109</w:t>
                          </w:r>
                          <w:r>
                            <w:rPr>
                              <w:rFonts w:hint="eastAsia"/>
                              <w:sz w:val="18"/>
                            </w:rPr>
                            <w:t>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 共 </w:t>
                    </w:r>
                    <w:r>
                      <w:rPr>
                        <w:rFonts w:hint="eastAsia"/>
                        <w:sz w:val="18"/>
                        <w:lang w:val="en-US" w:eastAsia="zh-CN"/>
                      </w:rPr>
                      <w:t>109</w:t>
                    </w:r>
                    <w:r>
                      <w:rPr>
                        <w:rFonts w:hint="eastAsia"/>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0"/>
      <w:jc w:val="right"/>
      <w:rPr>
        <w:rFonts w:hint="default" w:eastAsia="宋体"/>
        <w:szCs w:val="21"/>
        <w:lang w:val="en-US" w:eastAsia="zh-CN"/>
      </w:rPr>
    </w:pPr>
    <w:r>
      <w:rPr>
        <w:rFonts w:hint="eastAsia"/>
        <w:szCs w:val="21"/>
        <w:lang w:eastAsia="zh-CN"/>
      </w:rPr>
      <w:t>安庆职业技术学院“两站两服务”平台暨青年之家装饰工程</w:t>
    </w:r>
    <w:r>
      <w:rPr>
        <w:rFonts w:hint="eastAsia"/>
        <w:szCs w:val="21"/>
        <w:lang w:val="en-US" w:eastAsia="zh-CN"/>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B8F4F1"/>
    <w:multiLevelType w:val="singleLevel"/>
    <w:tmpl w:val="C8B8F4F1"/>
    <w:lvl w:ilvl="0" w:tentative="0">
      <w:start w:val="1"/>
      <w:numFmt w:val="decimalEnclosedCircleChinese"/>
      <w:suff w:val="space"/>
      <w:lvlText w:val="%1"/>
      <w:lvlJc w:val="left"/>
      <w:rPr>
        <w:rFonts w:hint="eastAsia"/>
      </w:rPr>
    </w:lvl>
  </w:abstractNum>
  <w:abstractNum w:abstractNumId="1">
    <w:nsid w:val="44263A37"/>
    <w:multiLevelType w:val="singleLevel"/>
    <w:tmpl w:val="44263A37"/>
    <w:lvl w:ilvl="0" w:tentative="0">
      <w:start w:val="1"/>
      <w:numFmt w:val="decimal"/>
      <w:suff w:val="nothing"/>
      <w:lvlText w:val="%1、"/>
      <w:lvlJc w:val="left"/>
    </w:lvl>
  </w:abstractNum>
  <w:abstractNum w:abstractNumId="2">
    <w:nsid w:val="5513AE88"/>
    <w:multiLevelType w:val="singleLevel"/>
    <w:tmpl w:val="5513AE88"/>
    <w:lvl w:ilvl="0" w:tentative="0">
      <w:start w:val="7"/>
      <w:numFmt w:val="chineseCounting"/>
      <w:suff w:val="nothing"/>
      <w:lvlText w:val="（%1）"/>
      <w:lvlJc w:val="left"/>
    </w:lvl>
  </w:abstractNum>
  <w:abstractNum w:abstractNumId="3">
    <w:nsid w:val="55697878"/>
    <w:multiLevelType w:val="singleLevel"/>
    <w:tmpl w:val="55697878"/>
    <w:lvl w:ilvl="0" w:tentative="0">
      <w:start w:val="1"/>
      <w:numFmt w:val="chineseCounting"/>
      <w:suff w:val="space"/>
      <w:lvlText w:val="第%1章"/>
      <w:lvlJc w:val="left"/>
    </w:lvl>
  </w:abstractNum>
  <w:abstractNum w:abstractNumId="4">
    <w:nsid w:val="56E50374"/>
    <w:multiLevelType w:val="singleLevel"/>
    <w:tmpl w:val="56E50374"/>
    <w:lvl w:ilvl="0" w:tentative="0">
      <w:start w:val="1"/>
      <w:numFmt w:val="decimal"/>
      <w:suff w:val="nothing"/>
      <w:lvlText w:val="（%1）"/>
      <w:lvlJc w:val="left"/>
    </w:lvl>
  </w:abstractNum>
  <w:abstractNum w:abstractNumId="5">
    <w:nsid w:val="58FC10EF"/>
    <w:multiLevelType w:val="singleLevel"/>
    <w:tmpl w:val="58FC10EF"/>
    <w:lvl w:ilvl="0" w:tentative="0">
      <w:start w:val="1"/>
      <w:numFmt w:val="decimalEnclosedCircleChinese"/>
      <w:suff w:val="nothing"/>
      <w:lvlText w:val="%1　"/>
      <w:lvlJc w:val="left"/>
      <w:pPr>
        <w:ind w:left="0" w:firstLine="400"/>
      </w:pPr>
      <w:rPr>
        <w:rFonts w:hint="eastAsia"/>
      </w:rPr>
    </w:lvl>
  </w:abstractNum>
  <w:abstractNum w:abstractNumId="6">
    <w:nsid w:val="58FC1119"/>
    <w:multiLevelType w:val="singleLevel"/>
    <w:tmpl w:val="58FC1119"/>
    <w:lvl w:ilvl="0" w:tentative="0">
      <w:start w:val="1"/>
      <w:numFmt w:val="decimalEnclosedCircleChinese"/>
      <w:suff w:val="nothing"/>
      <w:lvlText w:val="%1　"/>
      <w:lvlJc w:val="left"/>
      <w:pPr>
        <w:ind w:left="0" w:firstLine="400"/>
      </w:pPr>
      <w:rPr>
        <w:rFonts w:hint="eastAsia"/>
      </w:rPr>
    </w:lvl>
  </w:abstractNum>
  <w:abstractNum w:abstractNumId="7">
    <w:nsid w:val="65E54AF3"/>
    <w:multiLevelType w:val="singleLevel"/>
    <w:tmpl w:val="65E54AF3"/>
    <w:lvl w:ilvl="0" w:tentative="0">
      <w:start w:val="2"/>
      <w:numFmt w:val="decimal"/>
      <w:suff w:val="nothing"/>
      <w:lvlText w:val="%1、"/>
      <w:lvlJc w:val="left"/>
    </w:lvl>
  </w:abstractNum>
  <w:abstractNum w:abstractNumId="8">
    <w:nsid w:val="77BDEB66"/>
    <w:multiLevelType w:val="singleLevel"/>
    <w:tmpl w:val="77BDEB66"/>
    <w:lvl w:ilvl="0" w:tentative="0">
      <w:start w:val="1"/>
      <w:numFmt w:val="chineseCounting"/>
      <w:suff w:val="space"/>
      <w:lvlText w:val="第%1章"/>
      <w:lvlJc w:val="left"/>
      <w:rPr>
        <w:rFonts w:hint="eastAsia"/>
      </w:rPr>
    </w:lvl>
  </w:abstractNum>
  <w:num w:numId="1">
    <w:abstractNumId w:val="8"/>
  </w:num>
  <w:num w:numId="2">
    <w:abstractNumId w:val="1"/>
  </w:num>
  <w:num w:numId="3">
    <w:abstractNumId w:val="5"/>
  </w:num>
  <w:num w:numId="4">
    <w:abstractNumId w:val="6"/>
  </w:num>
  <w:num w:numId="5">
    <w:abstractNumId w:val="0"/>
  </w:num>
  <w:num w:numId="6">
    <w:abstractNumId w:val="2"/>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OGFiYWIyNWQ1NWNkNzYzMDkwMWQ5OWMxMjM1YmEifQ=="/>
  </w:docVars>
  <w:rsids>
    <w:rsidRoot w:val="00172A27"/>
    <w:rsid w:val="00000A6A"/>
    <w:rsid w:val="00000C17"/>
    <w:rsid w:val="0000107A"/>
    <w:rsid w:val="000011BE"/>
    <w:rsid w:val="000042D3"/>
    <w:rsid w:val="00005133"/>
    <w:rsid w:val="00005466"/>
    <w:rsid w:val="00006AF1"/>
    <w:rsid w:val="00007032"/>
    <w:rsid w:val="000073FC"/>
    <w:rsid w:val="00007515"/>
    <w:rsid w:val="00007AA3"/>
    <w:rsid w:val="000126E1"/>
    <w:rsid w:val="000149A1"/>
    <w:rsid w:val="00015E04"/>
    <w:rsid w:val="00016F43"/>
    <w:rsid w:val="00017071"/>
    <w:rsid w:val="00021D7E"/>
    <w:rsid w:val="00022253"/>
    <w:rsid w:val="00023297"/>
    <w:rsid w:val="00023BBF"/>
    <w:rsid w:val="00023C13"/>
    <w:rsid w:val="00023C3C"/>
    <w:rsid w:val="0002603D"/>
    <w:rsid w:val="0002701D"/>
    <w:rsid w:val="0003013D"/>
    <w:rsid w:val="00031964"/>
    <w:rsid w:val="000319DA"/>
    <w:rsid w:val="000319EE"/>
    <w:rsid w:val="000333D6"/>
    <w:rsid w:val="000337C8"/>
    <w:rsid w:val="00034AAF"/>
    <w:rsid w:val="00035299"/>
    <w:rsid w:val="000358D5"/>
    <w:rsid w:val="00035F36"/>
    <w:rsid w:val="0004043A"/>
    <w:rsid w:val="0004104A"/>
    <w:rsid w:val="000417F5"/>
    <w:rsid w:val="000417F8"/>
    <w:rsid w:val="0004231F"/>
    <w:rsid w:val="00045045"/>
    <w:rsid w:val="0004516A"/>
    <w:rsid w:val="000455DA"/>
    <w:rsid w:val="00045DB5"/>
    <w:rsid w:val="00047F3E"/>
    <w:rsid w:val="00050835"/>
    <w:rsid w:val="00050A83"/>
    <w:rsid w:val="000511CB"/>
    <w:rsid w:val="000512EC"/>
    <w:rsid w:val="000518DE"/>
    <w:rsid w:val="00053D7B"/>
    <w:rsid w:val="0005429F"/>
    <w:rsid w:val="00055074"/>
    <w:rsid w:val="000559BC"/>
    <w:rsid w:val="0005704C"/>
    <w:rsid w:val="00060E7B"/>
    <w:rsid w:val="00061608"/>
    <w:rsid w:val="00061D3D"/>
    <w:rsid w:val="00061E14"/>
    <w:rsid w:val="00062251"/>
    <w:rsid w:val="000624B1"/>
    <w:rsid w:val="00063D98"/>
    <w:rsid w:val="00064343"/>
    <w:rsid w:val="00064689"/>
    <w:rsid w:val="000649C8"/>
    <w:rsid w:val="00064D1E"/>
    <w:rsid w:val="00065803"/>
    <w:rsid w:val="000669F8"/>
    <w:rsid w:val="00066BD7"/>
    <w:rsid w:val="00070CBB"/>
    <w:rsid w:val="000727F7"/>
    <w:rsid w:val="00073DC2"/>
    <w:rsid w:val="00073DFA"/>
    <w:rsid w:val="0007443D"/>
    <w:rsid w:val="00074E8A"/>
    <w:rsid w:val="00076BB9"/>
    <w:rsid w:val="000776CC"/>
    <w:rsid w:val="0008079C"/>
    <w:rsid w:val="00081AFC"/>
    <w:rsid w:val="00083019"/>
    <w:rsid w:val="00084CDB"/>
    <w:rsid w:val="00084F13"/>
    <w:rsid w:val="000853BB"/>
    <w:rsid w:val="000855F2"/>
    <w:rsid w:val="000867D9"/>
    <w:rsid w:val="000911C6"/>
    <w:rsid w:val="00091459"/>
    <w:rsid w:val="00091872"/>
    <w:rsid w:val="0009213F"/>
    <w:rsid w:val="000921B8"/>
    <w:rsid w:val="000922D7"/>
    <w:rsid w:val="00092463"/>
    <w:rsid w:val="00092644"/>
    <w:rsid w:val="0009264C"/>
    <w:rsid w:val="00094CE2"/>
    <w:rsid w:val="000961D5"/>
    <w:rsid w:val="0009665A"/>
    <w:rsid w:val="000968A3"/>
    <w:rsid w:val="00096958"/>
    <w:rsid w:val="00097945"/>
    <w:rsid w:val="00097DCE"/>
    <w:rsid w:val="000A0289"/>
    <w:rsid w:val="000A03DA"/>
    <w:rsid w:val="000A0E57"/>
    <w:rsid w:val="000A0F30"/>
    <w:rsid w:val="000A3717"/>
    <w:rsid w:val="000A3A67"/>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479"/>
    <w:rsid w:val="000C1E8C"/>
    <w:rsid w:val="000C383F"/>
    <w:rsid w:val="000C4010"/>
    <w:rsid w:val="000C4BBE"/>
    <w:rsid w:val="000C6EB4"/>
    <w:rsid w:val="000C7057"/>
    <w:rsid w:val="000C75DF"/>
    <w:rsid w:val="000D1369"/>
    <w:rsid w:val="000D291C"/>
    <w:rsid w:val="000D3B07"/>
    <w:rsid w:val="000D4A10"/>
    <w:rsid w:val="000D51D6"/>
    <w:rsid w:val="000D7CAD"/>
    <w:rsid w:val="000E04AF"/>
    <w:rsid w:val="000E0905"/>
    <w:rsid w:val="000E139D"/>
    <w:rsid w:val="000E1BDD"/>
    <w:rsid w:val="000E346C"/>
    <w:rsid w:val="000E4988"/>
    <w:rsid w:val="000E517E"/>
    <w:rsid w:val="000E657B"/>
    <w:rsid w:val="000E7179"/>
    <w:rsid w:val="000E7913"/>
    <w:rsid w:val="000F1962"/>
    <w:rsid w:val="000F1ADF"/>
    <w:rsid w:val="000F280E"/>
    <w:rsid w:val="000F2E4F"/>
    <w:rsid w:val="000F38FE"/>
    <w:rsid w:val="000F4F6F"/>
    <w:rsid w:val="000F51A9"/>
    <w:rsid w:val="000F55B6"/>
    <w:rsid w:val="000F5E01"/>
    <w:rsid w:val="000F6EB4"/>
    <w:rsid w:val="000F72A8"/>
    <w:rsid w:val="0010403A"/>
    <w:rsid w:val="001073FE"/>
    <w:rsid w:val="00107DF9"/>
    <w:rsid w:val="00111443"/>
    <w:rsid w:val="00111488"/>
    <w:rsid w:val="00111841"/>
    <w:rsid w:val="00111FF7"/>
    <w:rsid w:val="00112063"/>
    <w:rsid w:val="00114CB9"/>
    <w:rsid w:val="001167E5"/>
    <w:rsid w:val="001174A5"/>
    <w:rsid w:val="00117808"/>
    <w:rsid w:val="00117938"/>
    <w:rsid w:val="001179CE"/>
    <w:rsid w:val="00120DED"/>
    <w:rsid w:val="001220D1"/>
    <w:rsid w:val="00122B92"/>
    <w:rsid w:val="00122D8B"/>
    <w:rsid w:val="00122E55"/>
    <w:rsid w:val="00123858"/>
    <w:rsid w:val="001243CD"/>
    <w:rsid w:val="00125299"/>
    <w:rsid w:val="001261C8"/>
    <w:rsid w:val="0012736F"/>
    <w:rsid w:val="001277D9"/>
    <w:rsid w:val="001278DE"/>
    <w:rsid w:val="001305FC"/>
    <w:rsid w:val="00130E6F"/>
    <w:rsid w:val="0013246E"/>
    <w:rsid w:val="00132D2A"/>
    <w:rsid w:val="0013382F"/>
    <w:rsid w:val="001356F1"/>
    <w:rsid w:val="0013594E"/>
    <w:rsid w:val="001369BD"/>
    <w:rsid w:val="00136B11"/>
    <w:rsid w:val="00136F8C"/>
    <w:rsid w:val="00140063"/>
    <w:rsid w:val="001406AE"/>
    <w:rsid w:val="00140F4F"/>
    <w:rsid w:val="001439B9"/>
    <w:rsid w:val="00144054"/>
    <w:rsid w:val="00144C8F"/>
    <w:rsid w:val="00145333"/>
    <w:rsid w:val="00145F07"/>
    <w:rsid w:val="00146EFE"/>
    <w:rsid w:val="00146F98"/>
    <w:rsid w:val="00151DD7"/>
    <w:rsid w:val="001549DF"/>
    <w:rsid w:val="00154F26"/>
    <w:rsid w:val="00155B7A"/>
    <w:rsid w:val="0015661A"/>
    <w:rsid w:val="00160DD3"/>
    <w:rsid w:val="001650C9"/>
    <w:rsid w:val="001722C1"/>
    <w:rsid w:val="00172A27"/>
    <w:rsid w:val="00172FCE"/>
    <w:rsid w:val="0017392F"/>
    <w:rsid w:val="00174DB7"/>
    <w:rsid w:val="0017554C"/>
    <w:rsid w:val="00176D3D"/>
    <w:rsid w:val="00177B22"/>
    <w:rsid w:val="00180BE2"/>
    <w:rsid w:val="00181AD1"/>
    <w:rsid w:val="00182186"/>
    <w:rsid w:val="00182637"/>
    <w:rsid w:val="0018463C"/>
    <w:rsid w:val="00184E4B"/>
    <w:rsid w:val="00190AA9"/>
    <w:rsid w:val="00190B4B"/>
    <w:rsid w:val="00190C28"/>
    <w:rsid w:val="001922E2"/>
    <w:rsid w:val="00193311"/>
    <w:rsid w:val="00194AA6"/>
    <w:rsid w:val="00194AE3"/>
    <w:rsid w:val="001951BE"/>
    <w:rsid w:val="0019606E"/>
    <w:rsid w:val="00197C1C"/>
    <w:rsid w:val="001A093D"/>
    <w:rsid w:val="001A0AF4"/>
    <w:rsid w:val="001A15FA"/>
    <w:rsid w:val="001A1819"/>
    <w:rsid w:val="001A1B18"/>
    <w:rsid w:val="001A1F8A"/>
    <w:rsid w:val="001A2133"/>
    <w:rsid w:val="001A29CA"/>
    <w:rsid w:val="001A6823"/>
    <w:rsid w:val="001A7223"/>
    <w:rsid w:val="001A77ED"/>
    <w:rsid w:val="001A7825"/>
    <w:rsid w:val="001A7D51"/>
    <w:rsid w:val="001B04B2"/>
    <w:rsid w:val="001B32F6"/>
    <w:rsid w:val="001B67A1"/>
    <w:rsid w:val="001C0361"/>
    <w:rsid w:val="001C1352"/>
    <w:rsid w:val="001C3C00"/>
    <w:rsid w:val="001C3C5D"/>
    <w:rsid w:val="001C583F"/>
    <w:rsid w:val="001C58D1"/>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C14"/>
    <w:rsid w:val="001E7E18"/>
    <w:rsid w:val="001E7E1E"/>
    <w:rsid w:val="001F00EE"/>
    <w:rsid w:val="001F05E7"/>
    <w:rsid w:val="001F1CF5"/>
    <w:rsid w:val="001F1F69"/>
    <w:rsid w:val="001F2E32"/>
    <w:rsid w:val="001F59C8"/>
    <w:rsid w:val="001F5A3C"/>
    <w:rsid w:val="001F5D6A"/>
    <w:rsid w:val="00200675"/>
    <w:rsid w:val="00201B80"/>
    <w:rsid w:val="00201F27"/>
    <w:rsid w:val="0020331E"/>
    <w:rsid w:val="002033F7"/>
    <w:rsid w:val="00204105"/>
    <w:rsid w:val="002042AE"/>
    <w:rsid w:val="002046D4"/>
    <w:rsid w:val="00204C8D"/>
    <w:rsid w:val="00205937"/>
    <w:rsid w:val="00205E17"/>
    <w:rsid w:val="00206B65"/>
    <w:rsid w:val="00207FED"/>
    <w:rsid w:val="002114E2"/>
    <w:rsid w:val="00211B1D"/>
    <w:rsid w:val="002125D8"/>
    <w:rsid w:val="00212CF6"/>
    <w:rsid w:val="0021414F"/>
    <w:rsid w:val="00214600"/>
    <w:rsid w:val="00214AEF"/>
    <w:rsid w:val="00214CF3"/>
    <w:rsid w:val="002159F0"/>
    <w:rsid w:val="002163E0"/>
    <w:rsid w:val="00216845"/>
    <w:rsid w:val="00217292"/>
    <w:rsid w:val="002173FD"/>
    <w:rsid w:val="0022151F"/>
    <w:rsid w:val="00230199"/>
    <w:rsid w:val="00230744"/>
    <w:rsid w:val="00231320"/>
    <w:rsid w:val="00231B07"/>
    <w:rsid w:val="002326D3"/>
    <w:rsid w:val="00233012"/>
    <w:rsid w:val="002338F6"/>
    <w:rsid w:val="0023410B"/>
    <w:rsid w:val="002345F1"/>
    <w:rsid w:val="00235BC7"/>
    <w:rsid w:val="00237380"/>
    <w:rsid w:val="00237F01"/>
    <w:rsid w:val="002408E0"/>
    <w:rsid w:val="002425BE"/>
    <w:rsid w:val="002440C0"/>
    <w:rsid w:val="00244DB8"/>
    <w:rsid w:val="002459A4"/>
    <w:rsid w:val="00247C71"/>
    <w:rsid w:val="00247CEA"/>
    <w:rsid w:val="0025135B"/>
    <w:rsid w:val="002539BB"/>
    <w:rsid w:val="00255576"/>
    <w:rsid w:val="00255C1E"/>
    <w:rsid w:val="0025625B"/>
    <w:rsid w:val="00256A21"/>
    <w:rsid w:val="00257A30"/>
    <w:rsid w:val="00260D0E"/>
    <w:rsid w:val="002613B1"/>
    <w:rsid w:val="00261E08"/>
    <w:rsid w:val="00265EB2"/>
    <w:rsid w:val="0026687E"/>
    <w:rsid w:val="00266DCC"/>
    <w:rsid w:val="00270AC3"/>
    <w:rsid w:val="00271174"/>
    <w:rsid w:val="00272358"/>
    <w:rsid w:val="0027263E"/>
    <w:rsid w:val="00272B6E"/>
    <w:rsid w:val="00275943"/>
    <w:rsid w:val="00276566"/>
    <w:rsid w:val="002766F3"/>
    <w:rsid w:val="00276D8D"/>
    <w:rsid w:val="00280759"/>
    <w:rsid w:val="00280852"/>
    <w:rsid w:val="00282F8A"/>
    <w:rsid w:val="00283554"/>
    <w:rsid w:val="002836DF"/>
    <w:rsid w:val="002845ED"/>
    <w:rsid w:val="00286683"/>
    <w:rsid w:val="00286742"/>
    <w:rsid w:val="00286CDE"/>
    <w:rsid w:val="0029008F"/>
    <w:rsid w:val="0029062C"/>
    <w:rsid w:val="00292182"/>
    <w:rsid w:val="00292189"/>
    <w:rsid w:val="00294433"/>
    <w:rsid w:val="00296882"/>
    <w:rsid w:val="002A1B49"/>
    <w:rsid w:val="002A3645"/>
    <w:rsid w:val="002A369D"/>
    <w:rsid w:val="002A4102"/>
    <w:rsid w:val="002A575B"/>
    <w:rsid w:val="002A6A11"/>
    <w:rsid w:val="002A7F1D"/>
    <w:rsid w:val="002B11F0"/>
    <w:rsid w:val="002B2BFF"/>
    <w:rsid w:val="002B2C9E"/>
    <w:rsid w:val="002B2E4D"/>
    <w:rsid w:val="002B50D0"/>
    <w:rsid w:val="002B5642"/>
    <w:rsid w:val="002C0A12"/>
    <w:rsid w:val="002C28C0"/>
    <w:rsid w:val="002C2D23"/>
    <w:rsid w:val="002C6397"/>
    <w:rsid w:val="002C676E"/>
    <w:rsid w:val="002C6C59"/>
    <w:rsid w:val="002C7962"/>
    <w:rsid w:val="002D0B16"/>
    <w:rsid w:val="002D1D09"/>
    <w:rsid w:val="002D2367"/>
    <w:rsid w:val="002D418A"/>
    <w:rsid w:val="002D514B"/>
    <w:rsid w:val="002D65D7"/>
    <w:rsid w:val="002D72D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A1"/>
    <w:rsid w:val="00302892"/>
    <w:rsid w:val="00302E5C"/>
    <w:rsid w:val="0030348E"/>
    <w:rsid w:val="00303845"/>
    <w:rsid w:val="00304FDC"/>
    <w:rsid w:val="003069C6"/>
    <w:rsid w:val="00307001"/>
    <w:rsid w:val="003073E6"/>
    <w:rsid w:val="003105F8"/>
    <w:rsid w:val="00312AAD"/>
    <w:rsid w:val="00312BC9"/>
    <w:rsid w:val="00313A96"/>
    <w:rsid w:val="00313D3E"/>
    <w:rsid w:val="00314160"/>
    <w:rsid w:val="003145C8"/>
    <w:rsid w:val="00315C72"/>
    <w:rsid w:val="00316951"/>
    <w:rsid w:val="00316F87"/>
    <w:rsid w:val="003175FC"/>
    <w:rsid w:val="003176F3"/>
    <w:rsid w:val="003178D4"/>
    <w:rsid w:val="00317E42"/>
    <w:rsid w:val="00320D6B"/>
    <w:rsid w:val="00321A54"/>
    <w:rsid w:val="00321F80"/>
    <w:rsid w:val="003229B4"/>
    <w:rsid w:val="00325642"/>
    <w:rsid w:val="00326011"/>
    <w:rsid w:val="003267C0"/>
    <w:rsid w:val="003270C1"/>
    <w:rsid w:val="003272E2"/>
    <w:rsid w:val="00327C33"/>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6695"/>
    <w:rsid w:val="003468DA"/>
    <w:rsid w:val="003530B9"/>
    <w:rsid w:val="003536F9"/>
    <w:rsid w:val="003579E9"/>
    <w:rsid w:val="00357AB1"/>
    <w:rsid w:val="00357E4A"/>
    <w:rsid w:val="00360A48"/>
    <w:rsid w:val="00360E8B"/>
    <w:rsid w:val="00363941"/>
    <w:rsid w:val="00365242"/>
    <w:rsid w:val="0037074E"/>
    <w:rsid w:val="00370F12"/>
    <w:rsid w:val="003716BD"/>
    <w:rsid w:val="0037200A"/>
    <w:rsid w:val="00373768"/>
    <w:rsid w:val="00373E20"/>
    <w:rsid w:val="00374088"/>
    <w:rsid w:val="00374B64"/>
    <w:rsid w:val="00375424"/>
    <w:rsid w:val="003759E3"/>
    <w:rsid w:val="00375EF7"/>
    <w:rsid w:val="0037685F"/>
    <w:rsid w:val="00377217"/>
    <w:rsid w:val="003805B8"/>
    <w:rsid w:val="00380BEC"/>
    <w:rsid w:val="00380E97"/>
    <w:rsid w:val="00381547"/>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886"/>
    <w:rsid w:val="003A2A7F"/>
    <w:rsid w:val="003A3ED5"/>
    <w:rsid w:val="003A3F01"/>
    <w:rsid w:val="003A5005"/>
    <w:rsid w:val="003A5C2F"/>
    <w:rsid w:val="003A6E78"/>
    <w:rsid w:val="003B099F"/>
    <w:rsid w:val="003B1083"/>
    <w:rsid w:val="003B1698"/>
    <w:rsid w:val="003B19DA"/>
    <w:rsid w:val="003B2A11"/>
    <w:rsid w:val="003B4548"/>
    <w:rsid w:val="003B47F2"/>
    <w:rsid w:val="003B561C"/>
    <w:rsid w:val="003B67A4"/>
    <w:rsid w:val="003C0512"/>
    <w:rsid w:val="003C0A80"/>
    <w:rsid w:val="003C0CC5"/>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BEF"/>
    <w:rsid w:val="003D3DB8"/>
    <w:rsid w:val="003D572F"/>
    <w:rsid w:val="003D6800"/>
    <w:rsid w:val="003D6CB6"/>
    <w:rsid w:val="003D6CCA"/>
    <w:rsid w:val="003D7269"/>
    <w:rsid w:val="003D758D"/>
    <w:rsid w:val="003D7A28"/>
    <w:rsid w:val="003D7DEF"/>
    <w:rsid w:val="003E0064"/>
    <w:rsid w:val="003E0718"/>
    <w:rsid w:val="003E2AA0"/>
    <w:rsid w:val="003E2FA7"/>
    <w:rsid w:val="003E3548"/>
    <w:rsid w:val="003E6179"/>
    <w:rsid w:val="003E62ED"/>
    <w:rsid w:val="003E6DC3"/>
    <w:rsid w:val="003E71B7"/>
    <w:rsid w:val="003F006A"/>
    <w:rsid w:val="003F1A87"/>
    <w:rsid w:val="003F393F"/>
    <w:rsid w:val="003F3D8A"/>
    <w:rsid w:val="003F455E"/>
    <w:rsid w:val="003F5214"/>
    <w:rsid w:val="003F585F"/>
    <w:rsid w:val="003F7863"/>
    <w:rsid w:val="0040086F"/>
    <w:rsid w:val="00400CBB"/>
    <w:rsid w:val="00400DAB"/>
    <w:rsid w:val="00402A2D"/>
    <w:rsid w:val="00402E6A"/>
    <w:rsid w:val="00403EAD"/>
    <w:rsid w:val="00404D84"/>
    <w:rsid w:val="004059DF"/>
    <w:rsid w:val="00406708"/>
    <w:rsid w:val="00407A49"/>
    <w:rsid w:val="00407C07"/>
    <w:rsid w:val="00407E6B"/>
    <w:rsid w:val="00411907"/>
    <w:rsid w:val="00411D59"/>
    <w:rsid w:val="00412536"/>
    <w:rsid w:val="00412E67"/>
    <w:rsid w:val="00414D20"/>
    <w:rsid w:val="00414F6C"/>
    <w:rsid w:val="00415C9B"/>
    <w:rsid w:val="0041659E"/>
    <w:rsid w:val="00417819"/>
    <w:rsid w:val="004201E3"/>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71E9"/>
    <w:rsid w:val="00457437"/>
    <w:rsid w:val="004612AE"/>
    <w:rsid w:val="00462405"/>
    <w:rsid w:val="00462666"/>
    <w:rsid w:val="00462838"/>
    <w:rsid w:val="00462B5A"/>
    <w:rsid w:val="00463218"/>
    <w:rsid w:val="004635A3"/>
    <w:rsid w:val="0046404A"/>
    <w:rsid w:val="00464AD4"/>
    <w:rsid w:val="00464BB2"/>
    <w:rsid w:val="004655A4"/>
    <w:rsid w:val="00466C75"/>
    <w:rsid w:val="00466F5F"/>
    <w:rsid w:val="00470829"/>
    <w:rsid w:val="004717B9"/>
    <w:rsid w:val="00471DFC"/>
    <w:rsid w:val="004724A3"/>
    <w:rsid w:val="0047330F"/>
    <w:rsid w:val="00473846"/>
    <w:rsid w:val="00473B85"/>
    <w:rsid w:val="004754F6"/>
    <w:rsid w:val="00475F53"/>
    <w:rsid w:val="00476FA8"/>
    <w:rsid w:val="004771E0"/>
    <w:rsid w:val="004776EB"/>
    <w:rsid w:val="00477B6E"/>
    <w:rsid w:val="00482DC6"/>
    <w:rsid w:val="00483014"/>
    <w:rsid w:val="004830AC"/>
    <w:rsid w:val="0048476D"/>
    <w:rsid w:val="004848A8"/>
    <w:rsid w:val="00484CAA"/>
    <w:rsid w:val="00484D2F"/>
    <w:rsid w:val="004850C6"/>
    <w:rsid w:val="00485F30"/>
    <w:rsid w:val="00486F8F"/>
    <w:rsid w:val="00487C08"/>
    <w:rsid w:val="004902C4"/>
    <w:rsid w:val="00490340"/>
    <w:rsid w:val="004908EE"/>
    <w:rsid w:val="004929B4"/>
    <w:rsid w:val="00493072"/>
    <w:rsid w:val="004947C9"/>
    <w:rsid w:val="00494BB8"/>
    <w:rsid w:val="004960B4"/>
    <w:rsid w:val="00496636"/>
    <w:rsid w:val="00496712"/>
    <w:rsid w:val="004A17F3"/>
    <w:rsid w:val="004A2388"/>
    <w:rsid w:val="004A3CD1"/>
    <w:rsid w:val="004A4519"/>
    <w:rsid w:val="004A468C"/>
    <w:rsid w:val="004A4C87"/>
    <w:rsid w:val="004A53A0"/>
    <w:rsid w:val="004B0202"/>
    <w:rsid w:val="004B1334"/>
    <w:rsid w:val="004B137A"/>
    <w:rsid w:val="004B29ED"/>
    <w:rsid w:val="004B2F53"/>
    <w:rsid w:val="004B4C44"/>
    <w:rsid w:val="004B6646"/>
    <w:rsid w:val="004B7954"/>
    <w:rsid w:val="004B7E43"/>
    <w:rsid w:val="004C1804"/>
    <w:rsid w:val="004C44B6"/>
    <w:rsid w:val="004C7336"/>
    <w:rsid w:val="004D109E"/>
    <w:rsid w:val="004D1740"/>
    <w:rsid w:val="004D2935"/>
    <w:rsid w:val="004D2E16"/>
    <w:rsid w:val="004D38F9"/>
    <w:rsid w:val="004D51D6"/>
    <w:rsid w:val="004D5B27"/>
    <w:rsid w:val="004D6D03"/>
    <w:rsid w:val="004E0D4F"/>
    <w:rsid w:val="004E177E"/>
    <w:rsid w:val="004E3F70"/>
    <w:rsid w:val="004E48A9"/>
    <w:rsid w:val="004E67F0"/>
    <w:rsid w:val="004E6A1C"/>
    <w:rsid w:val="004E740F"/>
    <w:rsid w:val="004E7707"/>
    <w:rsid w:val="004F0AF1"/>
    <w:rsid w:val="004F0AF5"/>
    <w:rsid w:val="004F1C57"/>
    <w:rsid w:val="004F21AA"/>
    <w:rsid w:val="004F321C"/>
    <w:rsid w:val="004F357E"/>
    <w:rsid w:val="004F391B"/>
    <w:rsid w:val="004F4C6B"/>
    <w:rsid w:val="004F555F"/>
    <w:rsid w:val="004F5D55"/>
    <w:rsid w:val="004F5D6D"/>
    <w:rsid w:val="004F617B"/>
    <w:rsid w:val="004F62A0"/>
    <w:rsid w:val="004F77FD"/>
    <w:rsid w:val="004F78AA"/>
    <w:rsid w:val="004F7971"/>
    <w:rsid w:val="005009BC"/>
    <w:rsid w:val="0050100C"/>
    <w:rsid w:val="005013D8"/>
    <w:rsid w:val="00501EEE"/>
    <w:rsid w:val="005023F9"/>
    <w:rsid w:val="00502B96"/>
    <w:rsid w:val="00502D82"/>
    <w:rsid w:val="00503EDB"/>
    <w:rsid w:val="00504102"/>
    <w:rsid w:val="0050460A"/>
    <w:rsid w:val="005047B4"/>
    <w:rsid w:val="0051089F"/>
    <w:rsid w:val="00510DE4"/>
    <w:rsid w:val="005126F9"/>
    <w:rsid w:val="00514108"/>
    <w:rsid w:val="005150A2"/>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7F73"/>
    <w:rsid w:val="0055013A"/>
    <w:rsid w:val="00550CB9"/>
    <w:rsid w:val="00551694"/>
    <w:rsid w:val="00552F4F"/>
    <w:rsid w:val="005530A2"/>
    <w:rsid w:val="005548B0"/>
    <w:rsid w:val="00555612"/>
    <w:rsid w:val="005569C0"/>
    <w:rsid w:val="00556B98"/>
    <w:rsid w:val="00556C47"/>
    <w:rsid w:val="00557B54"/>
    <w:rsid w:val="00557C37"/>
    <w:rsid w:val="00560010"/>
    <w:rsid w:val="0056045A"/>
    <w:rsid w:val="00560A1D"/>
    <w:rsid w:val="00562062"/>
    <w:rsid w:val="00564C60"/>
    <w:rsid w:val="00564C7F"/>
    <w:rsid w:val="00567747"/>
    <w:rsid w:val="005702CF"/>
    <w:rsid w:val="00570C4D"/>
    <w:rsid w:val="00570EB7"/>
    <w:rsid w:val="00571033"/>
    <w:rsid w:val="0057199E"/>
    <w:rsid w:val="00571CCA"/>
    <w:rsid w:val="00571E5B"/>
    <w:rsid w:val="00572FB2"/>
    <w:rsid w:val="00577E85"/>
    <w:rsid w:val="00580FCF"/>
    <w:rsid w:val="00581045"/>
    <w:rsid w:val="005811AC"/>
    <w:rsid w:val="00582B61"/>
    <w:rsid w:val="00583EF3"/>
    <w:rsid w:val="00585029"/>
    <w:rsid w:val="00586013"/>
    <w:rsid w:val="00586451"/>
    <w:rsid w:val="00590276"/>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1B00"/>
    <w:rsid w:val="005A2FE1"/>
    <w:rsid w:val="005A4BAC"/>
    <w:rsid w:val="005A6940"/>
    <w:rsid w:val="005A6CB5"/>
    <w:rsid w:val="005A6FB7"/>
    <w:rsid w:val="005A7CD8"/>
    <w:rsid w:val="005B0DDA"/>
    <w:rsid w:val="005B1193"/>
    <w:rsid w:val="005B1F74"/>
    <w:rsid w:val="005B217C"/>
    <w:rsid w:val="005B3E17"/>
    <w:rsid w:val="005B5EAD"/>
    <w:rsid w:val="005B70E6"/>
    <w:rsid w:val="005C05F6"/>
    <w:rsid w:val="005C0847"/>
    <w:rsid w:val="005C0A40"/>
    <w:rsid w:val="005C0D8E"/>
    <w:rsid w:val="005C29F5"/>
    <w:rsid w:val="005C2C6E"/>
    <w:rsid w:val="005C2E40"/>
    <w:rsid w:val="005C320A"/>
    <w:rsid w:val="005C3220"/>
    <w:rsid w:val="005C49F1"/>
    <w:rsid w:val="005C55F3"/>
    <w:rsid w:val="005C6465"/>
    <w:rsid w:val="005C7231"/>
    <w:rsid w:val="005D0C7C"/>
    <w:rsid w:val="005D4C42"/>
    <w:rsid w:val="005D4CBE"/>
    <w:rsid w:val="005D6DB7"/>
    <w:rsid w:val="005D7CDC"/>
    <w:rsid w:val="005E17E9"/>
    <w:rsid w:val="005E3CFF"/>
    <w:rsid w:val="005E3FF1"/>
    <w:rsid w:val="005E4AF7"/>
    <w:rsid w:val="005E4C4D"/>
    <w:rsid w:val="005E4D62"/>
    <w:rsid w:val="005E5351"/>
    <w:rsid w:val="005E6BE3"/>
    <w:rsid w:val="005E72FE"/>
    <w:rsid w:val="005E78F7"/>
    <w:rsid w:val="005E7A69"/>
    <w:rsid w:val="005E7EDD"/>
    <w:rsid w:val="005F19DA"/>
    <w:rsid w:val="005F1EE6"/>
    <w:rsid w:val="005F23AC"/>
    <w:rsid w:val="005F2782"/>
    <w:rsid w:val="005F2A35"/>
    <w:rsid w:val="005F3C04"/>
    <w:rsid w:val="005F4DBF"/>
    <w:rsid w:val="005F6E6B"/>
    <w:rsid w:val="005F73D4"/>
    <w:rsid w:val="00601110"/>
    <w:rsid w:val="0060129B"/>
    <w:rsid w:val="00601438"/>
    <w:rsid w:val="00602156"/>
    <w:rsid w:val="00602572"/>
    <w:rsid w:val="00602AE4"/>
    <w:rsid w:val="00602D48"/>
    <w:rsid w:val="006034C2"/>
    <w:rsid w:val="00603CE2"/>
    <w:rsid w:val="00604BD4"/>
    <w:rsid w:val="00607D22"/>
    <w:rsid w:val="006111F9"/>
    <w:rsid w:val="006122C3"/>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645"/>
    <w:rsid w:val="00634FEC"/>
    <w:rsid w:val="00636352"/>
    <w:rsid w:val="00636A78"/>
    <w:rsid w:val="00636EF9"/>
    <w:rsid w:val="00637858"/>
    <w:rsid w:val="00641B1F"/>
    <w:rsid w:val="00641B23"/>
    <w:rsid w:val="00641CA8"/>
    <w:rsid w:val="0064228F"/>
    <w:rsid w:val="00642F00"/>
    <w:rsid w:val="006437A6"/>
    <w:rsid w:val="00643B92"/>
    <w:rsid w:val="00645398"/>
    <w:rsid w:val="00650A19"/>
    <w:rsid w:val="00650CEE"/>
    <w:rsid w:val="00651002"/>
    <w:rsid w:val="00651696"/>
    <w:rsid w:val="00651956"/>
    <w:rsid w:val="006541A1"/>
    <w:rsid w:val="0065461A"/>
    <w:rsid w:val="0065477B"/>
    <w:rsid w:val="006614AF"/>
    <w:rsid w:val="006617FB"/>
    <w:rsid w:val="006633DB"/>
    <w:rsid w:val="006634B3"/>
    <w:rsid w:val="00664042"/>
    <w:rsid w:val="00664628"/>
    <w:rsid w:val="006673F1"/>
    <w:rsid w:val="006714D4"/>
    <w:rsid w:val="0067172F"/>
    <w:rsid w:val="00671FD6"/>
    <w:rsid w:val="0067489E"/>
    <w:rsid w:val="006778B6"/>
    <w:rsid w:val="006816DC"/>
    <w:rsid w:val="00681A1C"/>
    <w:rsid w:val="00682527"/>
    <w:rsid w:val="00682D4F"/>
    <w:rsid w:val="0068346E"/>
    <w:rsid w:val="00685456"/>
    <w:rsid w:val="00686A8C"/>
    <w:rsid w:val="00687B99"/>
    <w:rsid w:val="006930C0"/>
    <w:rsid w:val="0069318A"/>
    <w:rsid w:val="00693A66"/>
    <w:rsid w:val="006950AF"/>
    <w:rsid w:val="00695131"/>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D7C"/>
    <w:rsid w:val="006B0CF4"/>
    <w:rsid w:val="006B1143"/>
    <w:rsid w:val="006B1BF5"/>
    <w:rsid w:val="006B20BA"/>
    <w:rsid w:val="006B2969"/>
    <w:rsid w:val="006B2C0A"/>
    <w:rsid w:val="006B2E21"/>
    <w:rsid w:val="006B3EA8"/>
    <w:rsid w:val="006B424E"/>
    <w:rsid w:val="006B44A6"/>
    <w:rsid w:val="006B4971"/>
    <w:rsid w:val="006B55D3"/>
    <w:rsid w:val="006B5A51"/>
    <w:rsid w:val="006B5ECA"/>
    <w:rsid w:val="006B5EE0"/>
    <w:rsid w:val="006B5F5F"/>
    <w:rsid w:val="006B6CC1"/>
    <w:rsid w:val="006B6F3B"/>
    <w:rsid w:val="006B7B1B"/>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43"/>
    <w:rsid w:val="006D5BE5"/>
    <w:rsid w:val="006D6069"/>
    <w:rsid w:val="006E1CDE"/>
    <w:rsid w:val="006E392A"/>
    <w:rsid w:val="006E3C35"/>
    <w:rsid w:val="006E615D"/>
    <w:rsid w:val="006E6F15"/>
    <w:rsid w:val="006F02BB"/>
    <w:rsid w:val="006F0341"/>
    <w:rsid w:val="006F066C"/>
    <w:rsid w:val="006F0D44"/>
    <w:rsid w:val="006F1F3E"/>
    <w:rsid w:val="006F42F6"/>
    <w:rsid w:val="006F4930"/>
    <w:rsid w:val="006F527B"/>
    <w:rsid w:val="006F52BE"/>
    <w:rsid w:val="006F6236"/>
    <w:rsid w:val="007004A3"/>
    <w:rsid w:val="007011C9"/>
    <w:rsid w:val="007022D4"/>
    <w:rsid w:val="0070250C"/>
    <w:rsid w:val="00702707"/>
    <w:rsid w:val="00702D56"/>
    <w:rsid w:val="00703448"/>
    <w:rsid w:val="00703C70"/>
    <w:rsid w:val="00704F31"/>
    <w:rsid w:val="00705B92"/>
    <w:rsid w:val="00706002"/>
    <w:rsid w:val="00706A0B"/>
    <w:rsid w:val="007079E1"/>
    <w:rsid w:val="0071210F"/>
    <w:rsid w:val="00712A2E"/>
    <w:rsid w:val="00713338"/>
    <w:rsid w:val="007133A5"/>
    <w:rsid w:val="00714041"/>
    <w:rsid w:val="00715747"/>
    <w:rsid w:val="007167DA"/>
    <w:rsid w:val="00716B32"/>
    <w:rsid w:val="00717429"/>
    <w:rsid w:val="00717EE0"/>
    <w:rsid w:val="00720516"/>
    <w:rsid w:val="00722E6E"/>
    <w:rsid w:val="00723A1B"/>
    <w:rsid w:val="0072634A"/>
    <w:rsid w:val="00726847"/>
    <w:rsid w:val="00726BBF"/>
    <w:rsid w:val="00727B55"/>
    <w:rsid w:val="00727FC5"/>
    <w:rsid w:val="007315BC"/>
    <w:rsid w:val="00732C48"/>
    <w:rsid w:val="00733D41"/>
    <w:rsid w:val="00736D07"/>
    <w:rsid w:val="00737737"/>
    <w:rsid w:val="007378C7"/>
    <w:rsid w:val="007400AD"/>
    <w:rsid w:val="007409EC"/>
    <w:rsid w:val="00740DA4"/>
    <w:rsid w:val="007437E6"/>
    <w:rsid w:val="00743861"/>
    <w:rsid w:val="00743BA2"/>
    <w:rsid w:val="00745278"/>
    <w:rsid w:val="007460E0"/>
    <w:rsid w:val="00747EBF"/>
    <w:rsid w:val="00751178"/>
    <w:rsid w:val="00751D40"/>
    <w:rsid w:val="00753B04"/>
    <w:rsid w:val="00754C10"/>
    <w:rsid w:val="00754FE2"/>
    <w:rsid w:val="00756161"/>
    <w:rsid w:val="0075685F"/>
    <w:rsid w:val="00756AFF"/>
    <w:rsid w:val="0075733E"/>
    <w:rsid w:val="007600D6"/>
    <w:rsid w:val="007604F0"/>
    <w:rsid w:val="007606B5"/>
    <w:rsid w:val="007608E9"/>
    <w:rsid w:val="00760BE3"/>
    <w:rsid w:val="00760FA3"/>
    <w:rsid w:val="00762AE6"/>
    <w:rsid w:val="007633AB"/>
    <w:rsid w:val="00763F74"/>
    <w:rsid w:val="00766C87"/>
    <w:rsid w:val="00767347"/>
    <w:rsid w:val="00767FDF"/>
    <w:rsid w:val="0077212B"/>
    <w:rsid w:val="00772207"/>
    <w:rsid w:val="00773097"/>
    <w:rsid w:val="00774797"/>
    <w:rsid w:val="00775755"/>
    <w:rsid w:val="007760C9"/>
    <w:rsid w:val="007801A7"/>
    <w:rsid w:val="0078149C"/>
    <w:rsid w:val="00781A8B"/>
    <w:rsid w:val="00782018"/>
    <w:rsid w:val="00782AEF"/>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5AE3"/>
    <w:rsid w:val="007A69A5"/>
    <w:rsid w:val="007A6E6E"/>
    <w:rsid w:val="007A7941"/>
    <w:rsid w:val="007B037C"/>
    <w:rsid w:val="007B1B91"/>
    <w:rsid w:val="007B2547"/>
    <w:rsid w:val="007B2913"/>
    <w:rsid w:val="007B4441"/>
    <w:rsid w:val="007B4B2F"/>
    <w:rsid w:val="007B5797"/>
    <w:rsid w:val="007B5D98"/>
    <w:rsid w:val="007B6184"/>
    <w:rsid w:val="007B7441"/>
    <w:rsid w:val="007B7A3C"/>
    <w:rsid w:val="007C0351"/>
    <w:rsid w:val="007C0481"/>
    <w:rsid w:val="007C0DEE"/>
    <w:rsid w:val="007C11CC"/>
    <w:rsid w:val="007C18ED"/>
    <w:rsid w:val="007C1AF5"/>
    <w:rsid w:val="007C2DE7"/>
    <w:rsid w:val="007C34DB"/>
    <w:rsid w:val="007C4778"/>
    <w:rsid w:val="007C5256"/>
    <w:rsid w:val="007C7979"/>
    <w:rsid w:val="007C7B2B"/>
    <w:rsid w:val="007C7D2C"/>
    <w:rsid w:val="007D0391"/>
    <w:rsid w:val="007D09FA"/>
    <w:rsid w:val="007D0D7B"/>
    <w:rsid w:val="007D12DC"/>
    <w:rsid w:val="007D2637"/>
    <w:rsid w:val="007D29C4"/>
    <w:rsid w:val="007D2C6F"/>
    <w:rsid w:val="007D2C99"/>
    <w:rsid w:val="007D2E77"/>
    <w:rsid w:val="007D39FC"/>
    <w:rsid w:val="007D3BB5"/>
    <w:rsid w:val="007D4916"/>
    <w:rsid w:val="007D4AFD"/>
    <w:rsid w:val="007D4F72"/>
    <w:rsid w:val="007D5F26"/>
    <w:rsid w:val="007D687A"/>
    <w:rsid w:val="007E03DD"/>
    <w:rsid w:val="007E07AF"/>
    <w:rsid w:val="007E16C6"/>
    <w:rsid w:val="007E24DC"/>
    <w:rsid w:val="007E2D91"/>
    <w:rsid w:val="007E3510"/>
    <w:rsid w:val="007E43E9"/>
    <w:rsid w:val="007E5693"/>
    <w:rsid w:val="007E61B8"/>
    <w:rsid w:val="007E6628"/>
    <w:rsid w:val="007E6981"/>
    <w:rsid w:val="007E6DC2"/>
    <w:rsid w:val="007E6F65"/>
    <w:rsid w:val="007E7578"/>
    <w:rsid w:val="007F10D9"/>
    <w:rsid w:val="007F1525"/>
    <w:rsid w:val="007F2592"/>
    <w:rsid w:val="007F2926"/>
    <w:rsid w:val="007F2A29"/>
    <w:rsid w:val="007F3BC3"/>
    <w:rsid w:val="007F5288"/>
    <w:rsid w:val="007F5E91"/>
    <w:rsid w:val="007F5F26"/>
    <w:rsid w:val="007F63DD"/>
    <w:rsid w:val="007F6A54"/>
    <w:rsid w:val="007F7158"/>
    <w:rsid w:val="007F7602"/>
    <w:rsid w:val="008012BD"/>
    <w:rsid w:val="00801516"/>
    <w:rsid w:val="00801DDA"/>
    <w:rsid w:val="00802B5F"/>
    <w:rsid w:val="00803A19"/>
    <w:rsid w:val="00803B86"/>
    <w:rsid w:val="008050CA"/>
    <w:rsid w:val="00805492"/>
    <w:rsid w:val="00806600"/>
    <w:rsid w:val="00806A32"/>
    <w:rsid w:val="00810059"/>
    <w:rsid w:val="00814431"/>
    <w:rsid w:val="0081510C"/>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07AF"/>
    <w:rsid w:val="00830F5B"/>
    <w:rsid w:val="008316CB"/>
    <w:rsid w:val="00834408"/>
    <w:rsid w:val="008369C6"/>
    <w:rsid w:val="00840E5F"/>
    <w:rsid w:val="00841652"/>
    <w:rsid w:val="008439D6"/>
    <w:rsid w:val="00843BBC"/>
    <w:rsid w:val="00844117"/>
    <w:rsid w:val="00844285"/>
    <w:rsid w:val="008446B2"/>
    <w:rsid w:val="00844EFD"/>
    <w:rsid w:val="00845D19"/>
    <w:rsid w:val="00845FEF"/>
    <w:rsid w:val="00846DBE"/>
    <w:rsid w:val="0085129B"/>
    <w:rsid w:val="008515A5"/>
    <w:rsid w:val="00852413"/>
    <w:rsid w:val="008543C1"/>
    <w:rsid w:val="00854558"/>
    <w:rsid w:val="00856378"/>
    <w:rsid w:val="00857FE9"/>
    <w:rsid w:val="0086037F"/>
    <w:rsid w:val="008618B5"/>
    <w:rsid w:val="00862850"/>
    <w:rsid w:val="00863283"/>
    <w:rsid w:val="0086494B"/>
    <w:rsid w:val="008659CD"/>
    <w:rsid w:val="0086627F"/>
    <w:rsid w:val="008702FB"/>
    <w:rsid w:val="008704F4"/>
    <w:rsid w:val="0087073E"/>
    <w:rsid w:val="00871239"/>
    <w:rsid w:val="00872421"/>
    <w:rsid w:val="00872FFC"/>
    <w:rsid w:val="008749D4"/>
    <w:rsid w:val="0087585B"/>
    <w:rsid w:val="0087715B"/>
    <w:rsid w:val="00880370"/>
    <w:rsid w:val="00880E47"/>
    <w:rsid w:val="0088213A"/>
    <w:rsid w:val="00882854"/>
    <w:rsid w:val="00885105"/>
    <w:rsid w:val="008857E6"/>
    <w:rsid w:val="00886B07"/>
    <w:rsid w:val="00886DB8"/>
    <w:rsid w:val="008927CB"/>
    <w:rsid w:val="00893913"/>
    <w:rsid w:val="00895455"/>
    <w:rsid w:val="008A06AC"/>
    <w:rsid w:val="008A0F95"/>
    <w:rsid w:val="008A19D3"/>
    <w:rsid w:val="008A3F23"/>
    <w:rsid w:val="008A490B"/>
    <w:rsid w:val="008A7DE4"/>
    <w:rsid w:val="008B0F63"/>
    <w:rsid w:val="008B1E15"/>
    <w:rsid w:val="008B3235"/>
    <w:rsid w:val="008B36EA"/>
    <w:rsid w:val="008B70DB"/>
    <w:rsid w:val="008C0760"/>
    <w:rsid w:val="008C1595"/>
    <w:rsid w:val="008C1F7E"/>
    <w:rsid w:val="008C313F"/>
    <w:rsid w:val="008C3B98"/>
    <w:rsid w:val="008C41B1"/>
    <w:rsid w:val="008C4CFC"/>
    <w:rsid w:val="008C5053"/>
    <w:rsid w:val="008C515F"/>
    <w:rsid w:val="008C56B1"/>
    <w:rsid w:val="008C5B1A"/>
    <w:rsid w:val="008C5F14"/>
    <w:rsid w:val="008C5F96"/>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D03"/>
    <w:rsid w:val="0090625F"/>
    <w:rsid w:val="00910786"/>
    <w:rsid w:val="00910D82"/>
    <w:rsid w:val="00911581"/>
    <w:rsid w:val="009118A8"/>
    <w:rsid w:val="0091214F"/>
    <w:rsid w:val="0091241D"/>
    <w:rsid w:val="00913AA0"/>
    <w:rsid w:val="00913AFA"/>
    <w:rsid w:val="00913B99"/>
    <w:rsid w:val="00913D54"/>
    <w:rsid w:val="009162EC"/>
    <w:rsid w:val="00916362"/>
    <w:rsid w:val="009170B3"/>
    <w:rsid w:val="00917491"/>
    <w:rsid w:val="00920BE2"/>
    <w:rsid w:val="00922083"/>
    <w:rsid w:val="00922457"/>
    <w:rsid w:val="0092503F"/>
    <w:rsid w:val="00925855"/>
    <w:rsid w:val="00926A14"/>
    <w:rsid w:val="00926E95"/>
    <w:rsid w:val="009278B5"/>
    <w:rsid w:val="009308F4"/>
    <w:rsid w:val="00931E0E"/>
    <w:rsid w:val="00933881"/>
    <w:rsid w:val="00933EA0"/>
    <w:rsid w:val="009357C9"/>
    <w:rsid w:val="009370C2"/>
    <w:rsid w:val="009372FA"/>
    <w:rsid w:val="009413E6"/>
    <w:rsid w:val="00944A12"/>
    <w:rsid w:val="00945087"/>
    <w:rsid w:val="00945321"/>
    <w:rsid w:val="009456F0"/>
    <w:rsid w:val="00946D72"/>
    <w:rsid w:val="00950986"/>
    <w:rsid w:val="009530F9"/>
    <w:rsid w:val="00953241"/>
    <w:rsid w:val="0095349A"/>
    <w:rsid w:val="009545D0"/>
    <w:rsid w:val="00956293"/>
    <w:rsid w:val="00956BD4"/>
    <w:rsid w:val="00957A79"/>
    <w:rsid w:val="0096030D"/>
    <w:rsid w:val="009604EF"/>
    <w:rsid w:val="009618E5"/>
    <w:rsid w:val="00961F44"/>
    <w:rsid w:val="0096206D"/>
    <w:rsid w:val="0096250B"/>
    <w:rsid w:val="00962BFF"/>
    <w:rsid w:val="00963183"/>
    <w:rsid w:val="009633CD"/>
    <w:rsid w:val="00964201"/>
    <w:rsid w:val="00964A89"/>
    <w:rsid w:val="00965C37"/>
    <w:rsid w:val="009664CD"/>
    <w:rsid w:val="009665EB"/>
    <w:rsid w:val="00966DB1"/>
    <w:rsid w:val="00967409"/>
    <w:rsid w:val="00967C8B"/>
    <w:rsid w:val="00967E38"/>
    <w:rsid w:val="00970517"/>
    <w:rsid w:val="00970D25"/>
    <w:rsid w:val="00971545"/>
    <w:rsid w:val="009718A8"/>
    <w:rsid w:val="0097198E"/>
    <w:rsid w:val="00971AA5"/>
    <w:rsid w:val="00971C1E"/>
    <w:rsid w:val="00971DC4"/>
    <w:rsid w:val="009724DB"/>
    <w:rsid w:val="00972524"/>
    <w:rsid w:val="009732BE"/>
    <w:rsid w:val="00973822"/>
    <w:rsid w:val="00973CCB"/>
    <w:rsid w:val="0097504F"/>
    <w:rsid w:val="00976165"/>
    <w:rsid w:val="00977275"/>
    <w:rsid w:val="0098065E"/>
    <w:rsid w:val="009810CE"/>
    <w:rsid w:val="00981831"/>
    <w:rsid w:val="00981A88"/>
    <w:rsid w:val="00981C12"/>
    <w:rsid w:val="009827C9"/>
    <w:rsid w:val="0098386F"/>
    <w:rsid w:val="009838FF"/>
    <w:rsid w:val="00983D9C"/>
    <w:rsid w:val="00983E27"/>
    <w:rsid w:val="0098533F"/>
    <w:rsid w:val="0098549D"/>
    <w:rsid w:val="00985DAD"/>
    <w:rsid w:val="00990304"/>
    <w:rsid w:val="009913CE"/>
    <w:rsid w:val="00992125"/>
    <w:rsid w:val="0099217C"/>
    <w:rsid w:val="009923E6"/>
    <w:rsid w:val="00992C8D"/>
    <w:rsid w:val="00993972"/>
    <w:rsid w:val="00993DBC"/>
    <w:rsid w:val="00994797"/>
    <w:rsid w:val="00994AD4"/>
    <w:rsid w:val="00996432"/>
    <w:rsid w:val="009968AC"/>
    <w:rsid w:val="00997BC9"/>
    <w:rsid w:val="009A03B1"/>
    <w:rsid w:val="009A03E2"/>
    <w:rsid w:val="009A1D0B"/>
    <w:rsid w:val="009A2022"/>
    <w:rsid w:val="009A363A"/>
    <w:rsid w:val="009A3E50"/>
    <w:rsid w:val="009A5653"/>
    <w:rsid w:val="009A62D5"/>
    <w:rsid w:val="009A6D8F"/>
    <w:rsid w:val="009A724D"/>
    <w:rsid w:val="009B0503"/>
    <w:rsid w:val="009B235F"/>
    <w:rsid w:val="009B374A"/>
    <w:rsid w:val="009B5A0D"/>
    <w:rsid w:val="009B5CC3"/>
    <w:rsid w:val="009C321F"/>
    <w:rsid w:val="009C3C31"/>
    <w:rsid w:val="009C4510"/>
    <w:rsid w:val="009C5140"/>
    <w:rsid w:val="009C57DD"/>
    <w:rsid w:val="009C688A"/>
    <w:rsid w:val="009C6C18"/>
    <w:rsid w:val="009C76D0"/>
    <w:rsid w:val="009D069F"/>
    <w:rsid w:val="009D0F87"/>
    <w:rsid w:val="009D2EFB"/>
    <w:rsid w:val="009D33BC"/>
    <w:rsid w:val="009D4121"/>
    <w:rsid w:val="009D4C76"/>
    <w:rsid w:val="009D520C"/>
    <w:rsid w:val="009D6123"/>
    <w:rsid w:val="009D6ECC"/>
    <w:rsid w:val="009D720A"/>
    <w:rsid w:val="009D7BB7"/>
    <w:rsid w:val="009E1524"/>
    <w:rsid w:val="009E15EC"/>
    <w:rsid w:val="009E2017"/>
    <w:rsid w:val="009E20B6"/>
    <w:rsid w:val="009E2133"/>
    <w:rsid w:val="009E41DC"/>
    <w:rsid w:val="009E4A4E"/>
    <w:rsid w:val="009F161E"/>
    <w:rsid w:val="009F2CEE"/>
    <w:rsid w:val="009F303C"/>
    <w:rsid w:val="009F44B9"/>
    <w:rsid w:val="009F6C7D"/>
    <w:rsid w:val="009F6E60"/>
    <w:rsid w:val="00A02455"/>
    <w:rsid w:val="00A026DB"/>
    <w:rsid w:val="00A02DB2"/>
    <w:rsid w:val="00A04CC2"/>
    <w:rsid w:val="00A04E96"/>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21EE6"/>
    <w:rsid w:val="00A222A2"/>
    <w:rsid w:val="00A23D63"/>
    <w:rsid w:val="00A240F4"/>
    <w:rsid w:val="00A2577A"/>
    <w:rsid w:val="00A26B44"/>
    <w:rsid w:val="00A26F4C"/>
    <w:rsid w:val="00A3095E"/>
    <w:rsid w:val="00A32865"/>
    <w:rsid w:val="00A33C62"/>
    <w:rsid w:val="00A362FF"/>
    <w:rsid w:val="00A363AA"/>
    <w:rsid w:val="00A366F0"/>
    <w:rsid w:val="00A36A4B"/>
    <w:rsid w:val="00A36E02"/>
    <w:rsid w:val="00A37148"/>
    <w:rsid w:val="00A372C0"/>
    <w:rsid w:val="00A374A3"/>
    <w:rsid w:val="00A4085C"/>
    <w:rsid w:val="00A423D0"/>
    <w:rsid w:val="00A43D1B"/>
    <w:rsid w:val="00A45963"/>
    <w:rsid w:val="00A51159"/>
    <w:rsid w:val="00A524DF"/>
    <w:rsid w:val="00A54A17"/>
    <w:rsid w:val="00A55405"/>
    <w:rsid w:val="00A5568C"/>
    <w:rsid w:val="00A5776D"/>
    <w:rsid w:val="00A602EA"/>
    <w:rsid w:val="00A603B5"/>
    <w:rsid w:val="00A61C0E"/>
    <w:rsid w:val="00A61C0F"/>
    <w:rsid w:val="00A6353F"/>
    <w:rsid w:val="00A6412E"/>
    <w:rsid w:val="00A64825"/>
    <w:rsid w:val="00A655C4"/>
    <w:rsid w:val="00A65A85"/>
    <w:rsid w:val="00A6764E"/>
    <w:rsid w:val="00A67A45"/>
    <w:rsid w:val="00A71996"/>
    <w:rsid w:val="00A71ACC"/>
    <w:rsid w:val="00A73A4D"/>
    <w:rsid w:val="00A745AF"/>
    <w:rsid w:val="00A81030"/>
    <w:rsid w:val="00A818D7"/>
    <w:rsid w:val="00A81BBC"/>
    <w:rsid w:val="00A83BF2"/>
    <w:rsid w:val="00A84CBE"/>
    <w:rsid w:val="00A854D4"/>
    <w:rsid w:val="00A85741"/>
    <w:rsid w:val="00A86F1B"/>
    <w:rsid w:val="00A87506"/>
    <w:rsid w:val="00A87D3F"/>
    <w:rsid w:val="00A91464"/>
    <w:rsid w:val="00A9249F"/>
    <w:rsid w:val="00A9263B"/>
    <w:rsid w:val="00A92D92"/>
    <w:rsid w:val="00A92EB5"/>
    <w:rsid w:val="00A931BC"/>
    <w:rsid w:val="00A94682"/>
    <w:rsid w:val="00A94988"/>
    <w:rsid w:val="00A95932"/>
    <w:rsid w:val="00AA121E"/>
    <w:rsid w:val="00AA1E9F"/>
    <w:rsid w:val="00AA28B1"/>
    <w:rsid w:val="00AA4361"/>
    <w:rsid w:val="00AA46CC"/>
    <w:rsid w:val="00AA4A4B"/>
    <w:rsid w:val="00AA5983"/>
    <w:rsid w:val="00AA5ED2"/>
    <w:rsid w:val="00AA6045"/>
    <w:rsid w:val="00AA698A"/>
    <w:rsid w:val="00AA7868"/>
    <w:rsid w:val="00AA7A83"/>
    <w:rsid w:val="00AB0265"/>
    <w:rsid w:val="00AB0F7D"/>
    <w:rsid w:val="00AB16FF"/>
    <w:rsid w:val="00AB24EB"/>
    <w:rsid w:val="00AB30C5"/>
    <w:rsid w:val="00AB4F18"/>
    <w:rsid w:val="00AB5469"/>
    <w:rsid w:val="00AB5CE2"/>
    <w:rsid w:val="00AB67A1"/>
    <w:rsid w:val="00AB6B22"/>
    <w:rsid w:val="00AB6E5A"/>
    <w:rsid w:val="00AC0188"/>
    <w:rsid w:val="00AC05D7"/>
    <w:rsid w:val="00AC22C8"/>
    <w:rsid w:val="00AC2FB6"/>
    <w:rsid w:val="00AC35CD"/>
    <w:rsid w:val="00AC3F23"/>
    <w:rsid w:val="00AD1CCE"/>
    <w:rsid w:val="00AD2C9A"/>
    <w:rsid w:val="00AD2ECF"/>
    <w:rsid w:val="00AD4396"/>
    <w:rsid w:val="00AD4FE5"/>
    <w:rsid w:val="00AD57BA"/>
    <w:rsid w:val="00AD7988"/>
    <w:rsid w:val="00AD7FE9"/>
    <w:rsid w:val="00AE217E"/>
    <w:rsid w:val="00AE3993"/>
    <w:rsid w:val="00AE5884"/>
    <w:rsid w:val="00AE7118"/>
    <w:rsid w:val="00AE770F"/>
    <w:rsid w:val="00AF0AF0"/>
    <w:rsid w:val="00AF4487"/>
    <w:rsid w:val="00AF46D2"/>
    <w:rsid w:val="00AF4BE9"/>
    <w:rsid w:val="00B022D4"/>
    <w:rsid w:val="00B038C2"/>
    <w:rsid w:val="00B05455"/>
    <w:rsid w:val="00B054B1"/>
    <w:rsid w:val="00B05692"/>
    <w:rsid w:val="00B0692A"/>
    <w:rsid w:val="00B107FF"/>
    <w:rsid w:val="00B1086A"/>
    <w:rsid w:val="00B10CE4"/>
    <w:rsid w:val="00B11579"/>
    <w:rsid w:val="00B12667"/>
    <w:rsid w:val="00B12954"/>
    <w:rsid w:val="00B13584"/>
    <w:rsid w:val="00B1422B"/>
    <w:rsid w:val="00B142DA"/>
    <w:rsid w:val="00B1578B"/>
    <w:rsid w:val="00B172D3"/>
    <w:rsid w:val="00B20DAF"/>
    <w:rsid w:val="00B21350"/>
    <w:rsid w:val="00B22B91"/>
    <w:rsid w:val="00B25673"/>
    <w:rsid w:val="00B25BD7"/>
    <w:rsid w:val="00B26894"/>
    <w:rsid w:val="00B26B2F"/>
    <w:rsid w:val="00B26C14"/>
    <w:rsid w:val="00B27087"/>
    <w:rsid w:val="00B27F94"/>
    <w:rsid w:val="00B30D5C"/>
    <w:rsid w:val="00B31FB3"/>
    <w:rsid w:val="00B33F43"/>
    <w:rsid w:val="00B34AA8"/>
    <w:rsid w:val="00B34DB3"/>
    <w:rsid w:val="00B3522C"/>
    <w:rsid w:val="00B36404"/>
    <w:rsid w:val="00B36A7A"/>
    <w:rsid w:val="00B37114"/>
    <w:rsid w:val="00B37F3A"/>
    <w:rsid w:val="00B42124"/>
    <w:rsid w:val="00B43F1C"/>
    <w:rsid w:val="00B44239"/>
    <w:rsid w:val="00B4523B"/>
    <w:rsid w:val="00B45297"/>
    <w:rsid w:val="00B454CD"/>
    <w:rsid w:val="00B45F73"/>
    <w:rsid w:val="00B46A49"/>
    <w:rsid w:val="00B46BAD"/>
    <w:rsid w:val="00B47355"/>
    <w:rsid w:val="00B47606"/>
    <w:rsid w:val="00B47A28"/>
    <w:rsid w:val="00B50366"/>
    <w:rsid w:val="00B512E9"/>
    <w:rsid w:val="00B514E4"/>
    <w:rsid w:val="00B51561"/>
    <w:rsid w:val="00B51A8E"/>
    <w:rsid w:val="00B51B0F"/>
    <w:rsid w:val="00B52962"/>
    <w:rsid w:val="00B54CC9"/>
    <w:rsid w:val="00B55BC5"/>
    <w:rsid w:val="00B5639C"/>
    <w:rsid w:val="00B564A3"/>
    <w:rsid w:val="00B565B2"/>
    <w:rsid w:val="00B56B89"/>
    <w:rsid w:val="00B57666"/>
    <w:rsid w:val="00B577CD"/>
    <w:rsid w:val="00B60463"/>
    <w:rsid w:val="00B60F15"/>
    <w:rsid w:val="00B6184A"/>
    <w:rsid w:val="00B61923"/>
    <w:rsid w:val="00B63105"/>
    <w:rsid w:val="00B658F8"/>
    <w:rsid w:val="00B65A9C"/>
    <w:rsid w:val="00B65D44"/>
    <w:rsid w:val="00B667F2"/>
    <w:rsid w:val="00B71944"/>
    <w:rsid w:val="00B73C40"/>
    <w:rsid w:val="00B7409B"/>
    <w:rsid w:val="00B74285"/>
    <w:rsid w:val="00B74637"/>
    <w:rsid w:val="00B74650"/>
    <w:rsid w:val="00B75ADA"/>
    <w:rsid w:val="00B75CD5"/>
    <w:rsid w:val="00B75F44"/>
    <w:rsid w:val="00B76B83"/>
    <w:rsid w:val="00B8018B"/>
    <w:rsid w:val="00B80D77"/>
    <w:rsid w:val="00B80F9D"/>
    <w:rsid w:val="00B84B5E"/>
    <w:rsid w:val="00B84F95"/>
    <w:rsid w:val="00B8502C"/>
    <w:rsid w:val="00B854C0"/>
    <w:rsid w:val="00B8583F"/>
    <w:rsid w:val="00B86104"/>
    <w:rsid w:val="00B86B27"/>
    <w:rsid w:val="00B87152"/>
    <w:rsid w:val="00B87E6C"/>
    <w:rsid w:val="00B90A7A"/>
    <w:rsid w:val="00B9238D"/>
    <w:rsid w:val="00B92855"/>
    <w:rsid w:val="00B93836"/>
    <w:rsid w:val="00B93D48"/>
    <w:rsid w:val="00B944CE"/>
    <w:rsid w:val="00B95CCB"/>
    <w:rsid w:val="00B971FF"/>
    <w:rsid w:val="00B977BA"/>
    <w:rsid w:val="00BA1804"/>
    <w:rsid w:val="00BA27EA"/>
    <w:rsid w:val="00BA3803"/>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5E"/>
    <w:rsid w:val="00BC43CE"/>
    <w:rsid w:val="00BC448F"/>
    <w:rsid w:val="00BC4D6F"/>
    <w:rsid w:val="00BC6BF2"/>
    <w:rsid w:val="00BC720D"/>
    <w:rsid w:val="00BC7D35"/>
    <w:rsid w:val="00BD011A"/>
    <w:rsid w:val="00BD183E"/>
    <w:rsid w:val="00BD26D3"/>
    <w:rsid w:val="00BD2F94"/>
    <w:rsid w:val="00BD3055"/>
    <w:rsid w:val="00BD3488"/>
    <w:rsid w:val="00BD4003"/>
    <w:rsid w:val="00BD46DA"/>
    <w:rsid w:val="00BD4723"/>
    <w:rsid w:val="00BD5589"/>
    <w:rsid w:val="00BD56A1"/>
    <w:rsid w:val="00BD6D39"/>
    <w:rsid w:val="00BD7172"/>
    <w:rsid w:val="00BD734E"/>
    <w:rsid w:val="00BE1D98"/>
    <w:rsid w:val="00BE2547"/>
    <w:rsid w:val="00BE351E"/>
    <w:rsid w:val="00BE4657"/>
    <w:rsid w:val="00BE4732"/>
    <w:rsid w:val="00BE4A89"/>
    <w:rsid w:val="00BE5879"/>
    <w:rsid w:val="00BE6542"/>
    <w:rsid w:val="00BE6A7E"/>
    <w:rsid w:val="00BE7176"/>
    <w:rsid w:val="00BF06E3"/>
    <w:rsid w:val="00BF0CA2"/>
    <w:rsid w:val="00BF264A"/>
    <w:rsid w:val="00C0056C"/>
    <w:rsid w:val="00C005BF"/>
    <w:rsid w:val="00C00A05"/>
    <w:rsid w:val="00C0180A"/>
    <w:rsid w:val="00C0293E"/>
    <w:rsid w:val="00C038B4"/>
    <w:rsid w:val="00C03DFD"/>
    <w:rsid w:val="00C04E7D"/>
    <w:rsid w:val="00C0640C"/>
    <w:rsid w:val="00C066E7"/>
    <w:rsid w:val="00C10F63"/>
    <w:rsid w:val="00C1170D"/>
    <w:rsid w:val="00C118E5"/>
    <w:rsid w:val="00C118FA"/>
    <w:rsid w:val="00C13034"/>
    <w:rsid w:val="00C13E9A"/>
    <w:rsid w:val="00C14045"/>
    <w:rsid w:val="00C14B6D"/>
    <w:rsid w:val="00C14F1D"/>
    <w:rsid w:val="00C155FE"/>
    <w:rsid w:val="00C21753"/>
    <w:rsid w:val="00C21BA3"/>
    <w:rsid w:val="00C2206D"/>
    <w:rsid w:val="00C22230"/>
    <w:rsid w:val="00C2224E"/>
    <w:rsid w:val="00C2310E"/>
    <w:rsid w:val="00C25455"/>
    <w:rsid w:val="00C2581C"/>
    <w:rsid w:val="00C2641B"/>
    <w:rsid w:val="00C265BF"/>
    <w:rsid w:val="00C341A5"/>
    <w:rsid w:val="00C361D7"/>
    <w:rsid w:val="00C36714"/>
    <w:rsid w:val="00C3761B"/>
    <w:rsid w:val="00C4123E"/>
    <w:rsid w:val="00C413BC"/>
    <w:rsid w:val="00C41536"/>
    <w:rsid w:val="00C42100"/>
    <w:rsid w:val="00C4245D"/>
    <w:rsid w:val="00C4413F"/>
    <w:rsid w:val="00C52244"/>
    <w:rsid w:val="00C52EDD"/>
    <w:rsid w:val="00C52F08"/>
    <w:rsid w:val="00C536CA"/>
    <w:rsid w:val="00C53CB1"/>
    <w:rsid w:val="00C54E59"/>
    <w:rsid w:val="00C553BB"/>
    <w:rsid w:val="00C55549"/>
    <w:rsid w:val="00C6123A"/>
    <w:rsid w:val="00C61BFF"/>
    <w:rsid w:val="00C6236D"/>
    <w:rsid w:val="00C629CF"/>
    <w:rsid w:val="00C62D5D"/>
    <w:rsid w:val="00C631C9"/>
    <w:rsid w:val="00C63B81"/>
    <w:rsid w:val="00C65182"/>
    <w:rsid w:val="00C65468"/>
    <w:rsid w:val="00C65F31"/>
    <w:rsid w:val="00C677C9"/>
    <w:rsid w:val="00C713AA"/>
    <w:rsid w:val="00C72532"/>
    <w:rsid w:val="00C7272F"/>
    <w:rsid w:val="00C72ABF"/>
    <w:rsid w:val="00C72D19"/>
    <w:rsid w:val="00C735B7"/>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9038D"/>
    <w:rsid w:val="00C90558"/>
    <w:rsid w:val="00C9074A"/>
    <w:rsid w:val="00C90B99"/>
    <w:rsid w:val="00C91E01"/>
    <w:rsid w:val="00C91E77"/>
    <w:rsid w:val="00C92E96"/>
    <w:rsid w:val="00C93028"/>
    <w:rsid w:val="00C9375B"/>
    <w:rsid w:val="00C93A19"/>
    <w:rsid w:val="00C95C56"/>
    <w:rsid w:val="00CA1E64"/>
    <w:rsid w:val="00CA325A"/>
    <w:rsid w:val="00CA3453"/>
    <w:rsid w:val="00CA36B2"/>
    <w:rsid w:val="00CA430A"/>
    <w:rsid w:val="00CA4870"/>
    <w:rsid w:val="00CA4AB4"/>
    <w:rsid w:val="00CA4EA1"/>
    <w:rsid w:val="00CA5F9E"/>
    <w:rsid w:val="00CA6BE4"/>
    <w:rsid w:val="00CB06EF"/>
    <w:rsid w:val="00CB1B3B"/>
    <w:rsid w:val="00CB1C66"/>
    <w:rsid w:val="00CB2243"/>
    <w:rsid w:val="00CB28C9"/>
    <w:rsid w:val="00CB2CAC"/>
    <w:rsid w:val="00CB45AC"/>
    <w:rsid w:val="00CB4BC9"/>
    <w:rsid w:val="00CB4D21"/>
    <w:rsid w:val="00CB5311"/>
    <w:rsid w:val="00CB6BAD"/>
    <w:rsid w:val="00CB6E46"/>
    <w:rsid w:val="00CC1191"/>
    <w:rsid w:val="00CC1399"/>
    <w:rsid w:val="00CC1AFF"/>
    <w:rsid w:val="00CC2769"/>
    <w:rsid w:val="00CC40C2"/>
    <w:rsid w:val="00CC4547"/>
    <w:rsid w:val="00CC5850"/>
    <w:rsid w:val="00CC6EA0"/>
    <w:rsid w:val="00CC77E8"/>
    <w:rsid w:val="00CC7AA2"/>
    <w:rsid w:val="00CD0096"/>
    <w:rsid w:val="00CD192A"/>
    <w:rsid w:val="00CD1FC3"/>
    <w:rsid w:val="00CD2D48"/>
    <w:rsid w:val="00CD394C"/>
    <w:rsid w:val="00CD3E61"/>
    <w:rsid w:val="00CE052A"/>
    <w:rsid w:val="00CE0B7A"/>
    <w:rsid w:val="00CE491D"/>
    <w:rsid w:val="00CE4AD7"/>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0192"/>
    <w:rsid w:val="00D107AC"/>
    <w:rsid w:val="00D12EFF"/>
    <w:rsid w:val="00D1365C"/>
    <w:rsid w:val="00D13E8A"/>
    <w:rsid w:val="00D14F7D"/>
    <w:rsid w:val="00D17162"/>
    <w:rsid w:val="00D17535"/>
    <w:rsid w:val="00D17B30"/>
    <w:rsid w:val="00D22AC3"/>
    <w:rsid w:val="00D23502"/>
    <w:rsid w:val="00D23ADF"/>
    <w:rsid w:val="00D23B19"/>
    <w:rsid w:val="00D25D5C"/>
    <w:rsid w:val="00D301B0"/>
    <w:rsid w:val="00D309AB"/>
    <w:rsid w:val="00D33CB3"/>
    <w:rsid w:val="00D33E89"/>
    <w:rsid w:val="00D3648B"/>
    <w:rsid w:val="00D3741E"/>
    <w:rsid w:val="00D4057D"/>
    <w:rsid w:val="00D40759"/>
    <w:rsid w:val="00D43607"/>
    <w:rsid w:val="00D43967"/>
    <w:rsid w:val="00D4429D"/>
    <w:rsid w:val="00D44D0C"/>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610F8"/>
    <w:rsid w:val="00D61319"/>
    <w:rsid w:val="00D6186B"/>
    <w:rsid w:val="00D63214"/>
    <w:rsid w:val="00D6344E"/>
    <w:rsid w:val="00D64C88"/>
    <w:rsid w:val="00D676F4"/>
    <w:rsid w:val="00D71EEB"/>
    <w:rsid w:val="00D733DF"/>
    <w:rsid w:val="00D73BCC"/>
    <w:rsid w:val="00D74F64"/>
    <w:rsid w:val="00D76D43"/>
    <w:rsid w:val="00D775E6"/>
    <w:rsid w:val="00D800DD"/>
    <w:rsid w:val="00D8109F"/>
    <w:rsid w:val="00D810B3"/>
    <w:rsid w:val="00D8119D"/>
    <w:rsid w:val="00D81A78"/>
    <w:rsid w:val="00D81B91"/>
    <w:rsid w:val="00D82D96"/>
    <w:rsid w:val="00D8531D"/>
    <w:rsid w:val="00D85595"/>
    <w:rsid w:val="00D86347"/>
    <w:rsid w:val="00D87EF5"/>
    <w:rsid w:val="00D905FB"/>
    <w:rsid w:val="00D90B97"/>
    <w:rsid w:val="00D91D6F"/>
    <w:rsid w:val="00D92BB1"/>
    <w:rsid w:val="00D93F02"/>
    <w:rsid w:val="00D94E84"/>
    <w:rsid w:val="00D955E6"/>
    <w:rsid w:val="00D9581A"/>
    <w:rsid w:val="00D96347"/>
    <w:rsid w:val="00D96B16"/>
    <w:rsid w:val="00D96DB6"/>
    <w:rsid w:val="00D972F7"/>
    <w:rsid w:val="00DA0FB9"/>
    <w:rsid w:val="00DA1AC1"/>
    <w:rsid w:val="00DA2205"/>
    <w:rsid w:val="00DA26A7"/>
    <w:rsid w:val="00DA2A11"/>
    <w:rsid w:val="00DA2E4C"/>
    <w:rsid w:val="00DA3290"/>
    <w:rsid w:val="00DA4FCD"/>
    <w:rsid w:val="00DA5236"/>
    <w:rsid w:val="00DA65D0"/>
    <w:rsid w:val="00DA7149"/>
    <w:rsid w:val="00DA750E"/>
    <w:rsid w:val="00DA7945"/>
    <w:rsid w:val="00DB06DF"/>
    <w:rsid w:val="00DB1090"/>
    <w:rsid w:val="00DB17AB"/>
    <w:rsid w:val="00DB36B2"/>
    <w:rsid w:val="00DB37A3"/>
    <w:rsid w:val="00DB38FC"/>
    <w:rsid w:val="00DB3EA8"/>
    <w:rsid w:val="00DB5B47"/>
    <w:rsid w:val="00DB654B"/>
    <w:rsid w:val="00DB66FB"/>
    <w:rsid w:val="00DC023B"/>
    <w:rsid w:val="00DC03DF"/>
    <w:rsid w:val="00DC1ABD"/>
    <w:rsid w:val="00DC209A"/>
    <w:rsid w:val="00DC3108"/>
    <w:rsid w:val="00DC3331"/>
    <w:rsid w:val="00DC3BE3"/>
    <w:rsid w:val="00DC76B4"/>
    <w:rsid w:val="00DC7EF4"/>
    <w:rsid w:val="00DD131B"/>
    <w:rsid w:val="00DD2032"/>
    <w:rsid w:val="00DD3628"/>
    <w:rsid w:val="00DD3726"/>
    <w:rsid w:val="00DD6001"/>
    <w:rsid w:val="00DD691D"/>
    <w:rsid w:val="00DD7502"/>
    <w:rsid w:val="00DE03D0"/>
    <w:rsid w:val="00DE13A3"/>
    <w:rsid w:val="00DE1E96"/>
    <w:rsid w:val="00DE22E8"/>
    <w:rsid w:val="00DE2B2B"/>
    <w:rsid w:val="00DE5495"/>
    <w:rsid w:val="00DE5868"/>
    <w:rsid w:val="00DE5ABF"/>
    <w:rsid w:val="00DE7899"/>
    <w:rsid w:val="00DF1E2C"/>
    <w:rsid w:val="00DF1EF5"/>
    <w:rsid w:val="00DF3DCE"/>
    <w:rsid w:val="00DF5E9B"/>
    <w:rsid w:val="00DF6342"/>
    <w:rsid w:val="00DF67E9"/>
    <w:rsid w:val="00E006EF"/>
    <w:rsid w:val="00E00782"/>
    <w:rsid w:val="00E00E23"/>
    <w:rsid w:val="00E017DF"/>
    <w:rsid w:val="00E02CD1"/>
    <w:rsid w:val="00E02F60"/>
    <w:rsid w:val="00E04844"/>
    <w:rsid w:val="00E05A4A"/>
    <w:rsid w:val="00E05B2B"/>
    <w:rsid w:val="00E106FC"/>
    <w:rsid w:val="00E107F4"/>
    <w:rsid w:val="00E110F8"/>
    <w:rsid w:val="00E1212B"/>
    <w:rsid w:val="00E13444"/>
    <w:rsid w:val="00E13FE8"/>
    <w:rsid w:val="00E145F0"/>
    <w:rsid w:val="00E14C86"/>
    <w:rsid w:val="00E15EB7"/>
    <w:rsid w:val="00E164BA"/>
    <w:rsid w:val="00E16FA0"/>
    <w:rsid w:val="00E17889"/>
    <w:rsid w:val="00E230DE"/>
    <w:rsid w:val="00E233CE"/>
    <w:rsid w:val="00E23763"/>
    <w:rsid w:val="00E24DB4"/>
    <w:rsid w:val="00E25863"/>
    <w:rsid w:val="00E25A5A"/>
    <w:rsid w:val="00E267E9"/>
    <w:rsid w:val="00E26B8C"/>
    <w:rsid w:val="00E27268"/>
    <w:rsid w:val="00E27D3A"/>
    <w:rsid w:val="00E27E46"/>
    <w:rsid w:val="00E3187B"/>
    <w:rsid w:val="00E31A24"/>
    <w:rsid w:val="00E32114"/>
    <w:rsid w:val="00E323DC"/>
    <w:rsid w:val="00E33578"/>
    <w:rsid w:val="00E335CD"/>
    <w:rsid w:val="00E33788"/>
    <w:rsid w:val="00E344E6"/>
    <w:rsid w:val="00E3470B"/>
    <w:rsid w:val="00E34C8D"/>
    <w:rsid w:val="00E34D5D"/>
    <w:rsid w:val="00E3534E"/>
    <w:rsid w:val="00E35D86"/>
    <w:rsid w:val="00E36502"/>
    <w:rsid w:val="00E37EC9"/>
    <w:rsid w:val="00E40D55"/>
    <w:rsid w:val="00E4104E"/>
    <w:rsid w:val="00E41384"/>
    <w:rsid w:val="00E413DF"/>
    <w:rsid w:val="00E45791"/>
    <w:rsid w:val="00E46F1E"/>
    <w:rsid w:val="00E51278"/>
    <w:rsid w:val="00E51AD5"/>
    <w:rsid w:val="00E51ED8"/>
    <w:rsid w:val="00E520D7"/>
    <w:rsid w:val="00E535DB"/>
    <w:rsid w:val="00E542C7"/>
    <w:rsid w:val="00E55085"/>
    <w:rsid w:val="00E56811"/>
    <w:rsid w:val="00E5722C"/>
    <w:rsid w:val="00E577DD"/>
    <w:rsid w:val="00E61B04"/>
    <w:rsid w:val="00E61D42"/>
    <w:rsid w:val="00E62412"/>
    <w:rsid w:val="00E62EC1"/>
    <w:rsid w:val="00E6445D"/>
    <w:rsid w:val="00E651BE"/>
    <w:rsid w:val="00E65E14"/>
    <w:rsid w:val="00E65F8C"/>
    <w:rsid w:val="00E67F96"/>
    <w:rsid w:val="00E70017"/>
    <w:rsid w:val="00E70513"/>
    <w:rsid w:val="00E70922"/>
    <w:rsid w:val="00E70B42"/>
    <w:rsid w:val="00E70F47"/>
    <w:rsid w:val="00E71792"/>
    <w:rsid w:val="00E71D0C"/>
    <w:rsid w:val="00E7210A"/>
    <w:rsid w:val="00E7233C"/>
    <w:rsid w:val="00E72532"/>
    <w:rsid w:val="00E73D8A"/>
    <w:rsid w:val="00E74964"/>
    <w:rsid w:val="00E74FD7"/>
    <w:rsid w:val="00E75A99"/>
    <w:rsid w:val="00E76253"/>
    <w:rsid w:val="00E762DE"/>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87A29"/>
    <w:rsid w:val="00E90BA5"/>
    <w:rsid w:val="00E90E70"/>
    <w:rsid w:val="00E93829"/>
    <w:rsid w:val="00E93D81"/>
    <w:rsid w:val="00E93EF3"/>
    <w:rsid w:val="00E94106"/>
    <w:rsid w:val="00E95BE7"/>
    <w:rsid w:val="00E96D16"/>
    <w:rsid w:val="00E97B38"/>
    <w:rsid w:val="00E97BFC"/>
    <w:rsid w:val="00EA12B3"/>
    <w:rsid w:val="00EA2379"/>
    <w:rsid w:val="00EA2D63"/>
    <w:rsid w:val="00EA3280"/>
    <w:rsid w:val="00EA3A6B"/>
    <w:rsid w:val="00EA3E19"/>
    <w:rsid w:val="00EA4962"/>
    <w:rsid w:val="00EA5627"/>
    <w:rsid w:val="00EA599C"/>
    <w:rsid w:val="00EA61A7"/>
    <w:rsid w:val="00EA6426"/>
    <w:rsid w:val="00EA6659"/>
    <w:rsid w:val="00EA7364"/>
    <w:rsid w:val="00EB0A1D"/>
    <w:rsid w:val="00EB1587"/>
    <w:rsid w:val="00EB2862"/>
    <w:rsid w:val="00EB40F7"/>
    <w:rsid w:val="00EB4C07"/>
    <w:rsid w:val="00EB5548"/>
    <w:rsid w:val="00EB555A"/>
    <w:rsid w:val="00EB5EE5"/>
    <w:rsid w:val="00EB70CF"/>
    <w:rsid w:val="00EB7E2A"/>
    <w:rsid w:val="00EC043A"/>
    <w:rsid w:val="00EC0DC3"/>
    <w:rsid w:val="00EC0FC4"/>
    <w:rsid w:val="00EC413A"/>
    <w:rsid w:val="00EC454B"/>
    <w:rsid w:val="00EC4647"/>
    <w:rsid w:val="00EC4AFA"/>
    <w:rsid w:val="00EC542B"/>
    <w:rsid w:val="00EC5A81"/>
    <w:rsid w:val="00EC7812"/>
    <w:rsid w:val="00ED0839"/>
    <w:rsid w:val="00ED0B94"/>
    <w:rsid w:val="00ED0C82"/>
    <w:rsid w:val="00ED1705"/>
    <w:rsid w:val="00ED1F70"/>
    <w:rsid w:val="00ED2BDE"/>
    <w:rsid w:val="00ED3E55"/>
    <w:rsid w:val="00ED51EE"/>
    <w:rsid w:val="00ED5794"/>
    <w:rsid w:val="00EE0051"/>
    <w:rsid w:val="00EE0440"/>
    <w:rsid w:val="00EE107D"/>
    <w:rsid w:val="00EE148E"/>
    <w:rsid w:val="00EE1B55"/>
    <w:rsid w:val="00EE1D12"/>
    <w:rsid w:val="00EE283E"/>
    <w:rsid w:val="00EE2A4D"/>
    <w:rsid w:val="00EE46EE"/>
    <w:rsid w:val="00EE4F0D"/>
    <w:rsid w:val="00EE7BA1"/>
    <w:rsid w:val="00EF07FA"/>
    <w:rsid w:val="00EF1232"/>
    <w:rsid w:val="00EF1ECB"/>
    <w:rsid w:val="00EF2486"/>
    <w:rsid w:val="00EF407F"/>
    <w:rsid w:val="00EF44AF"/>
    <w:rsid w:val="00EF4F48"/>
    <w:rsid w:val="00EF5565"/>
    <w:rsid w:val="00EF5688"/>
    <w:rsid w:val="00EF5EB3"/>
    <w:rsid w:val="00EF6541"/>
    <w:rsid w:val="00EF7DF2"/>
    <w:rsid w:val="00F02114"/>
    <w:rsid w:val="00F05D0F"/>
    <w:rsid w:val="00F05DDD"/>
    <w:rsid w:val="00F061A7"/>
    <w:rsid w:val="00F0668F"/>
    <w:rsid w:val="00F076B1"/>
    <w:rsid w:val="00F077EB"/>
    <w:rsid w:val="00F10638"/>
    <w:rsid w:val="00F10A18"/>
    <w:rsid w:val="00F1146F"/>
    <w:rsid w:val="00F12605"/>
    <w:rsid w:val="00F15231"/>
    <w:rsid w:val="00F16658"/>
    <w:rsid w:val="00F16F72"/>
    <w:rsid w:val="00F17B25"/>
    <w:rsid w:val="00F209B9"/>
    <w:rsid w:val="00F2172D"/>
    <w:rsid w:val="00F221AF"/>
    <w:rsid w:val="00F223FF"/>
    <w:rsid w:val="00F22585"/>
    <w:rsid w:val="00F2277B"/>
    <w:rsid w:val="00F22821"/>
    <w:rsid w:val="00F228A2"/>
    <w:rsid w:val="00F22932"/>
    <w:rsid w:val="00F22C00"/>
    <w:rsid w:val="00F22EF0"/>
    <w:rsid w:val="00F2593C"/>
    <w:rsid w:val="00F26CC8"/>
    <w:rsid w:val="00F271CF"/>
    <w:rsid w:val="00F27DAB"/>
    <w:rsid w:val="00F30F6A"/>
    <w:rsid w:val="00F31D48"/>
    <w:rsid w:val="00F31EE2"/>
    <w:rsid w:val="00F32191"/>
    <w:rsid w:val="00F321C4"/>
    <w:rsid w:val="00F323BA"/>
    <w:rsid w:val="00F3555B"/>
    <w:rsid w:val="00F35674"/>
    <w:rsid w:val="00F35C9F"/>
    <w:rsid w:val="00F3685D"/>
    <w:rsid w:val="00F40E91"/>
    <w:rsid w:val="00F41A4A"/>
    <w:rsid w:val="00F43271"/>
    <w:rsid w:val="00F4330A"/>
    <w:rsid w:val="00F44396"/>
    <w:rsid w:val="00F448C3"/>
    <w:rsid w:val="00F44C94"/>
    <w:rsid w:val="00F44D2E"/>
    <w:rsid w:val="00F455EB"/>
    <w:rsid w:val="00F460F9"/>
    <w:rsid w:val="00F474A7"/>
    <w:rsid w:val="00F51CFD"/>
    <w:rsid w:val="00F51D8D"/>
    <w:rsid w:val="00F55580"/>
    <w:rsid w:val="00F61383"/>
    <w:rsid w:val="00F61E09"/>
    <w:rsid w:val="00F61FF8"/>
    <w:rsid w:val="00F6226E"/>
    <w:rsid w:val="00F63116"/>
    <w:rsid w:val="00F632AC"/>
    <w:rsid w:val="00F632C4"/>
    <w:rsid w:val="00F642DE"/>
    <w:rsid w:val="00F67767"/>
    <w:rsid w:val="00F7005D"/>
    <w:rsid w:val="00F706F0"/>
    <w:rsid w:val="00F71599"/>
    <w:rsid w:val="00F71E84"/>
    <w:rsid w:val="00F72957"/>
    <w:rsid w:val="00F72CF4"/>
    <w:rsid w:val="00F74C30"/>
    <w:rsid w:val="00F77451"/>
    <w:rsid w:val="00F804AA"/>
    <w:rsid w:val="00F80D22"/>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2539"/>
    <w:rsid w:val="00F949C7"/>
    <w:rsid w:val="00F96CC9"/>
    <w:rsid w:val="00F97950"/>
    <w:rsid w:val="00FA0332"/>
    <w:rsid w:val="00FA1727"/>
    <w:rsid w:val="00FA3259"/>
    <w:rsid w:val="00FA3715"/>
    <w:rsid w:val="00FA39CF"/>
    <w:rsid w:val="00FA4BA2"/>
    <w:rsid w:val="00FA5AB1"/>
    <w:rsid w:val="00FA6042"/>
    <w:rsid w:val="00FA636B"/>
    <w:rsid w:val="00FB31FE"/>
    <w:rsid w:val="00FB5E6C"/>
    <w:rsid w:val="00FB6374"/>
    <w:rsid w:val="00FB6CB4"/>
    <w:rsid w:val="00FB6D76"/>
    <w:rsid w:val="00FB6FD8"/>
    <w:rsid w:val="00FC1314"/>
    <w:rsid w:val="00FC2B71"/>
    <w:rsid w:val="00FC557F"/>
    <w:rsid w:val="00FC6DB7"/>
    <w:rsid w:val="00FC776F"/>
    <w:rsid w:val="00FC7CD8"/>
    <w:rsid w:val="00FD0002"/>
    <w:rsid w:val="00FD1C30"/>
    <w:rsid w:val="00FD250B"/>
    <w:rsid w:val="00FD2F1C"/>
    <w:rsid w:val="00FD39EA"/>
    <w:rsid w:val="00FD7D0B"/>
    <w:rsid w:val="00FE0741"/>
    <w:rsid w:val="00FE0DE7"/>
    <w:rsid w:val="00FE218B"/>
    <w:rsid w:val="00FE2A65"/>
    <w:rsid w:val="00FE3B3A"/>
    <w:rsid w:val="00FE405B"/>
    <w:rsid w:val="00FE529E"/>
    <w:rsid w:val="00FE59A2"/>
    <w:rsid w:val="00FE6D02"/>
    <w:rsid w:val="00FE79F7"/>
    <w:rsid w:val="00FF12A0"/>
    <w:rsid w:val="00FF1385"/>
    <w:rsid w:val="00FF1732"/>
    <w:rsid w:val="00FF1AD7"/>
    <w:rsid w:val="00FF3E04"/>
    <w:rsid w:val="00FF53E8"/>
    <w:rsid w:val="00FF6A5A"/>
    <w:rsid w:val="00FF762C"/>
    <w:rsid w:val="00FF79C6"/>
    <w:rsid w:val="01275880"/>
    <w:rsid w:val="01390507"/>
    <w:rsid w:val="018A44B4"/>
    <w:rsid w:val="01922DC9"/>
    <w:rsid w:val="01955795"/>
    <w:rsid w:val="019924DC"/>
    <w:rsid w:val="019B51C6"/>
    <w:rsid w:val="019C6D7E"/>
    <w:rsid w:val="021A1EAD"/>
    <w:rsid w:val="02282019"/>
    <w:rsid w:val="02316790"/>
    <w:rsid w:val="02350F18"/>
    <w:rsid w:val="023E4914"/>
    <w:rsid w:val="025016FF"/>
    <w:rsid w:val="02552BF5"/>
    <w:rsid w:val="02561957"/>
    <w:rsid w:val="025723E7"/>
    <w:rsid w:val="02606320"/>
    <w:rsid w:val="02734C55"/>
    <w:rsid w:val="02833A7A"/>
    <w:rsid w:val="02C264D0"/>
    <w:rsid w:val="02C845A0"/>
    <w:rsid w:val="02CB14BA"/>
    <w:rsid w:val="02D82928"/>
    <w:rsid w:val="02DC08FA"/>
    <w:rsid w:val="02E9052A"/>
    <w:rsid w:val="02EE6FC0"/>
    <w:rsid w:val="02F10E60"/>
    <w:rsid w:val="030B790B"/>
    <w:rsid w:val="031B350A"/>
    <w:rsid w:val="03234532"/>
    <w:rsid w:val="032B4C8B"/>
    <w:rsid w:val="03387229"/>
    <w:rsid w:val="033A0A97"/>
    <w:rsid w:val="03443A6F"/>
    <w:rsid w:val="035F79DD"/>
    <w:rsid w:val="03724537"/>
    <w:rsid w:val="03851ED2"/>
    <w:rsid w:val="038A7B2D"/>
    <w:rsid w:val="03A96165"/>
    <w:rsid w:val="03D451DE"/>
    <w:rsid w:val="03F44933"/>
    <w:rsid w:val="04043AA5"/>
    <w:rsid w:val="041E00B2"/>
    <w:rsid w:val="041E7ACD"/>
    <w:rsid w:val="04201B8B"/>
    <w:rsid w:val="04382BE0"/>
    <w:rsid w:val="043A526C"/>
    <w:rsid w:val="043E3F32"/>
    <w:rsid w:val="043E7102"/>
    <w:rsid w:val="045433E0"/>
    <w:rsid w:val="045E7194"/>
    <w:rsid w:val="0477350E"/>
    <w:rsid w:val="0480479F"/>
    <w:rsid w:val="048D42C4"/>
    <w:rsid w:val="04A006E1"/>
    <w:rsid w:val="04C77B00"/>
    <w:rsid w:val="050C7F51"/>
    <w:rsid w:val="051610D5"/>
    <w:rsid w:val="051A65C3"/>
    <w:rsid w:val="052E1C9F"/>
    <w:rsid w:val="0531200C"/>
    <w:rsid w:val="053E109C"/>
    <w:rsid w:val="054412DF"/>
    <w:rsid w:val="054C6411"/>
    <w:rsid w:val="05887F40"/>
    <w:rsid w:val="05B3711C"/>
    <w:rsid w:val="05BF3306"/>
    <w:rsid w:val="05DC5A55"/>
    <w:rsid w:val="05E002BE"/>
    <w:rsid w:val="05E35B59"/>
    <w:rsid w:val="061F2A86"/>
    <w:rsid w:val="06481AD4"/>
    <w:rsid w:val="06521913"/>
    <w:rsid w:val="06567772"/>
    <w:rsid w:val="06690C85"/>
    <w:rsid w:val="067D0C9F"/>
    <w:rsid w:val="06805122"/>
    <w:rsid w:val="069353D8"/>
    <w:rsid w:val="06952ADA"/>
    <w:rsid w:val="06AA3F9D"/>
    <w:rsid w:val="06DF7532"/>
    <w:rsid w:val="06F36A08"/>
    <w:rsid w:val="06F5481B"/>
    <w:rsid w:val="07013D1F"/>
    <w:rsid w:val="070B42DE"/>
    <w:rsid w:val="07140C3A"/>
    <w:rsid w:val="071B4038"/>
    <w:rsid w:val="0735145A"/>
    <w:rsid w:val="07422C6F"/>
    <w:rsid w:val="07655DB3"/>
    <w:rsid w:val="07DA0583"/>
    <w:rsid w:val="07F309B1"/>
    <w:rsid w:val="08010E6F"/>
    <w:rsid w:val="08037B85"/>
    <w:rsid w:val="08170CDD"/>
    <w:rsid w:val="0838737A"/>
    <w:rsid w:val="08444D9F"/>
    <w:rsid w:val="08517143"/>
    <w:rsid w:val="085852D7"/>
    <w:rsid w:val="08656347"/>
    <w:rsid w:val="088A4392"/>
    <w:rsid w:val="089935B7"/>
    <w:rsid w:val="08A16777"/>
    <w:rsid w:val="08AA4743"/>
    <w:rsid w:val="08AC60E9"/>
    <w:rsid w:val="08BD4DF0"/>
    <w:rsid w:val="08BF4BF3"/>
    <w:rsid w:val="08BF672B"/>
    <w:rsid w:val="08D12404"/>
    <w:rsid w:val="08DA0D79"/>
    <w:rsid w:val="08EC649C"/>
    <w:rsid w:val="08F67F13"/>
    <w:rsid w:val="0924663A"/>
    <w:rsid w:val="0927319F"/>
    <w:rsid w:val="092B3141"/>
    <w:rsid w:val="095065C8"/>
    <w:rsid w:val="097517AF"/>
    <w:rsid w:val="097A7948"/>
    <w:rsid w:val="09896214"/>
    <w:rsid w:val="098C68F8"/>
    <w:rsid w:val="09971720"/>
    <w:rsid w:val="09A3577C"/>
    <w:rsid w:val="09AC4724"/>
    <w:rsid w:val="09B87F24"/>
    <w:rsid w:val="09D71BE2"/>
    <w:rsid w:val="09F95F96"/>
    <w:rsid w:val="09FA0F0A"/>
    <w:rsid w:val="0A0334B3"/>
    <w:rsid w:val="0A230C3C"/>
    <w:rsid w:val="0A2C152C"/>
    <w:rsid w:val="0A3C1CA7"/>
    <w:rsid w:val="0A3D3A12"/>
    <w:rsid w:val="0A3D3B53"/>
    <w:rsid w:val="0A461924"/>
    <w:rsid w:val="0A651969"/>
    <w:rsid w:val="0A682522"/>
    <w:rsid w:val="0A6C0264"/>
    <w:rsid w:val="0A73514E"/>
    <w:rsid w:val="0A8D2FDF"/>
    <w:rsid w:val="0A901CC5"/>
    <w:rsid w:val="0A9023A3"/>
    <w:rsid w:val="0AC647EF"/>
    <w:rsid w:val="0AC82CC8"/>
    <w:rsid w:val="0AD9484E"/>
    <w:rsid w:val="0ADB4025"/>
    <w:rsid w:val="0AE150D1"/>
    <w:rsid w:val="0AEB5ABE"/>
    <w:rsid w:val="0B053C72"/>
    <w:rsid w:val="0B072024"/>
    <w:rsid w:val="0B0914F5"/>
    <w:rsid w:val="0B110D86"/>
    <w:rsid w:val="0B1733BA"/>
    <w:rsid w:val="0B2916C2"/>
    <w:rsid w:val="0B435549"/>
    <w:rsid w:val="0B561BC0"/>
    <w:rsid w:val="0B8D196B"/>
    <w:rsid w:val="0B91761E"/>
    <w:rsid w:val="0BCA33E7"/>
    <w:rsid w:val="0BE77B0B"/>
    <w:rsid w:val="0BF67709"/>
    <w:rsid w:val="0BFF12D8"/>
    <w:rsid w:val="0C3605CA"/>
    <w:rsid w:val="0C6E02C3"/>
    <w:rsid w:val="0C83295D"/>
    <w:rsid w:val="0C89471E"/>
    <w:rsid w:val="0CAE5CFF"/>
    <w:rsid w:val="0CD508D3"/>
    <w:rsid w:val="0CF86A1F"/>
    <w:rsid w:val="0D184598"/>
    <w:rsid w:val="0D221AB6"/>
    <w:rsid w:val="0D322E51"/>
    <w:rsid w:val="0D3E4270"/>
    <w:rsid w:val="0D494161"/>
    <w:rsid w:val="0D4F57E4"/>
    <w:rsid w:val="0D6669BD"/>
    <w:rsid w:val="0D996460"/>
    <w:rsid w:val="0DB05DDA"/>
    <w:rsid w:val="0DC64678"/>
    <w:rsid w:val="0DCB05AE"/>
    <w:rsid w:val="0DD96BE6"/>
    <w:rsid w:val="0DE26E45"/>
    <w:rsid w:val="0DE72DB4"/>
    <w:rsid w:val="0DF70178"/>
    <w:rsid w:val="0DF94899"/>
    <w:rsid w:val="0DFA1324"/>
    <w:rsid w:val="0E281CAF"/>
    <w:rsid w:val="0E32410D"/>
    <w:rsid w:val="0E361DF4"/>
    <w:rsid w:val="0E50312D"/>
    <w:rsid w:val="0E5A0249"/>
    <w:rsid w:val="0E7C7065"/>
    <w:rsid w:val="0EA86D69"/>
    <w:rsid w:val="0EB14180"/>
    <w:rsid w:val="0EBC4E69"/>
    <w:rsid w:val="0EDD408A"/>
    <w:rsid w:val="0EF64818"/>
    <w:rsid w:val="0EFB37A0"/>
    <w:rsid w:val="0F0547E3"/>
    <w:rsid w:val="0F0C257F"/>
    <w:rsid w:val="0F2931F1"/>
    <w:rsid w:val="0F3D389D"/>
    <w:rsid w:val="0F434292"/>
    <w:rsid w:val="0F8236D5"/>
    <w:rsid w:val="0FA65B55"/>
    <w:rsid w:val="0FC53B2B"/>
    <w:rsid w:val="0FC55235"/>
    <w:rsid w:val="0FD00FC6"/>
    <w:rsid w:val="0FE60149"/>
    <w:rsid w:val="1009280B"/>
    <w:rsid w:val="100E134E"/>
    <w:rsid w:val="10264018"/>
    <w:rsid w:val="10322F08"/>
    <w:rsid w:val="1050087E"/>
    <w:rsid w:val="106F49E8"/>
    <w:rsid w:val="1070418A"/>
    <w:rsid w:val="10794D76"/>
    <w:rsid w:val="10915FD0"/>
    <w:rsid w:val="10B2256F"/>
    <w:rsid w:val="10C17787"/>
    <w:rsid w:val="10C64A93"/>
    <w:rsid w:val="10CA473E"/>
    <w:rsid w:val="10D07BD0"/>
    <w:rsid w:val="10D90452"/>
    <w:rsid w:val="10DC68D5"/>
    <w:rsid w:val="10EF71F9"/>
    <w:rsid w:val="10F92125"/>
    <w:rsid w:val="10FB5335"/>
    <w:rsid w:val="117C4E8E"/>
    <w:rsid w:val="11803EC2"/>
    <w:rsid w:val="11A93505"/>
    <w:rsid w:val="11AC730F"/>
    <w:rsid w:val="11BC1C1F"/>
    <w:rsid w:val="11CF1EF1"/>
    <w:rsid w:val="11E45086"/>
    <w:rsid w:val="11EA2CE5"/>
    <w:rsid w:val="121A40C0"/>
    <w:rsid w:val="125E784D"/>
    <w:rsid w:val="126D10D0"/>
    <w:rsid w:val="126D2AE8"/>
    <w:rsid w:val="128C05F3"/>
    <w:rsid w:val="12994AF8"/>
    <w:rsid w:val="12A43496"/>
    <w:rsid w:val="12AE6B32"/>
    <w:rsid w:val="12C43EF0"/>
    <w:rsid w:val="12C4475B"/>
    <w:rsid w:val="12D6647C"/>
    <w:rsid w:val="13054513"/>
    <w:rsid w:val="132A2105"/>
    <w:rsid w:val="132B46CB"/>
    <w:rsid w:val="1347382D"/>
    <w:rsid w:val="135421F8"/>
    <w:rsid w:val="13616BDF"/>
    <w:rsid w:val="13656C26"/>
    <w:rsid w:val="136B3218"/>
    <w:rsid w:val="136B3D08"/>
    <w:rsid w:val="13753967"/>
    <w:rsid w:val="13A1080A"/>
    <w:rsid w:val="13AC16D1"/>
    <w:rsid w:val="13B609AB"/>
    <w:rsid w:val="13DF2D80"/>
    <w:rsid w:val="13E26464"/>
    <w:rsid w:val="13E56991"/>
    <w:rsid w:val="13EB17D3"/>
    <w:rsid w:val="142A4E08"/>
    <w:rsid w:val="143E6611"/>
    <w:rsid w:val="146B3973"/>
    <w:rsid w:val="14A210ED"/>
    <w:rsid w:val="14AF6E9E"/>
    <w:rsid w:val="14D8207C"/>
    <w:rsid w:val="14DA386A"/>
    <w:rsid w:val="14E42898"/>
    <w:rsid w:val="14EA39D9"/>
    <w:rsid w:val="14F224D3"/>
    <w:rsid w:val="15073605"/>
    <w:rsid w:val="150F289C"/>
    <w:rsid w:val="152A4236"/>
    <w:rsid w:val="15325C06"/>
    <w:rsid w:val="15333E24"/>
    <w:rsid w:val="153C0B41"/>
    <w:rsid w:val="155807CF"/>
    <w:rsid w:val="15786FC5"/>
    <w:rsid w:val="15AE6970"/>
    <w:rsid w:val="15C9236D"/>
    <w:rsid w:val="15EC6B22"/>
    <w:rsid w:val="15FA4347"/>
    <w:rsid w:val="160C1264"/>
    <w:rsid w:val="16113656"/>
    <w:rsid w:val="162701DA"/>
    <w:rsid w:val="162B22EC"/>
    <w:rsid w:val="163A2FC4"/>
    <w:rsid w:val="164C31F0"/>
    <w:rsid w:val="164D4538"/>
    <w:rsid w:val="167A4077"/>
    <w:rsid w:val="16850E06"/>
    <w:rsid w:val="16991318"/>
    <w:rsid w:val="16AA643D"/>
    <w:rsid w:val="16C16894"/>
    <w:rsid w:val="16E62698"/>
    <w:rsid w:val="170B2AE0"/>
    <w:rsid w:val="170C2076"/>
    <w:rsid w:val="171347E8"/>
    <w:rsid w:val="17143815"/>
    <w:rsid w:val="17185FC5"/>
    <w:rsid w:val="171F0553"/>
    <w:rsid w:val="17310016"/>
    <w:rsid w:val="175C075E"/>
    <w:rsid w:val="17656EC7"/>
    <w:rsid w:val="17865E6F"/>
    <w:rsid w:val="178B2FCA"/>
    <w:rsid w:val="17914727"/>
    <w:rsid w:val="17C500D2"/>
    <w:rsid w:val="17D73777"/>
    <w:rsid w:val="17F032AA"/>
    <w:rsid w:val="17F04282"/>
    <w:rsid w:val="183A16EE"/>
    <w:rsid w:val="184022B4"/>
    <w:rsid w:val="18815568"/>
    <w:rsid w:val="188859CE"/>
    <w:rsid w:val="189D5A8C"/>
    <w:rsid w:val="189F55F4"/>
    <w:rsid w:val="18B60312"/>
    <w:rsid w:val="18CC6433"/>
    <w:rsid w:val="18DC65B5"/>
    <w:rsid w:val="18F273A6"/>
    <w:rsid w:val="18F5007C"/>
    <w:rsid w:val="192A68C8"/>
    <w:rsid w:val="1938212D"/>
    <w:rsid w:val="194613FB"/>
    <w:rsid w:val="194A57B2"/>
    <w:rsid w:val="196E49C7"/>
    <w:rsid w:val="199F5019"/>
    <w:rsid w:val="19A66F31"/>
    <w:rsid w:val="19DB6B1A"/>
    <w:rsid w:val="19DF13F6"/>
    <w:rsid w:val="1A054B6B"/>
    <w:rsid w:val="1A390864"/>
    <w:rsid w:val="1A6A324A"/>
    <w:rsid w:val="1A6E33EB"/>
    <w:rsid w:val="1AC77936"/>
    <w:rsid w:val="1AD20093"/>
    <w:rsid w:val="1AE90469"/>
    <w:rsid w:val="1AFB443B"/>
    <w:rsid w:val="1B06535A"/>
    <w:rsid w:val="1B181533"/>
    <w:rsid w:val="1B366B0B"/>
    <w:rsid w:val="1B4A23AA"/>
    <w:rsid w:val="1B9739B3"/>
    <w:rsid w:val="1BA7556B"/>
    <w:rsid w:val="1BDE1760"/>
    <w:rsid w:val="1C2551E1"/>
    <w:rsid w:val="1C33298F"/>
    <w:rsid w:val="1C4B349A"/>
    <w:rsid w:val="1C656F34"/>
    <w:rsid w:val="1C741035"/>
    <w:rsid w:val="1C946602"/>
    <w:rsid w:val="1C9D5317"/>
    <w:rsid w:val="1CA232AC"/>
    <w:rsid w:val="1CCA7376"/>
    <w:rsid w:val="1CE37DC6"/>
    <w:rsid w:val="1CE41EDC"/>
    <w:rsid w:val="1CF43209"/>
    <w:rsid w:val="1D0B7287"/>
    <w:rsid w:val="1D0D1F43"/>
    <w:rsid w:val="1D0E5817"/>
    <w:rsid w:val="1D1F0E14"/>
    <w:rsid w:val="1D567021"/>
    <w:rsid w:val="1D6330C9"/>
    <w:rsid w:val="1D6E3E46"/>
    <w:rsid w:val="1D8254D6"/>
    <w:rsid w:val="1D8A5E57"/>
    <w:rsid w:val="1D9225EF"/>
    <w:rsid w:val="1DA03128"/>
    <w:rsid w:val="1DA05131"/>
    <w:rsid w:val="1DB25B96"/>
    <w:rsid w:val="1DC52A30"/>
    <w:rsid w:val="1DC65517"/>
    <w:rsid w:val="1DD237DE"/>
    <w:rsid w:val="1DD66520"/>
    <w:rsid w:val="1DE870A5"/>
    <w:rsid w:val="1E030C98"/>
    <w:rsid w:val="1E16127D"/>
    <w:rsid w:val="1E2A33E0"/>
    <w:rsid w:val="1E465BA2"/>
    <w:rsid w:val="1E470EBD"/>
    <w:rsid w:val="1E5E47E0"/>
    <w:rsid w:val="1E65548D"/>
    <w:rsid w:val="1E6A5CCC"/>
    <w:rsid w:val="1E814CFB"/>
    <w:rsid w:val="1E84689A"/>
    <w:rsid w:val="1E8E0A96"/>
    <w:rsid w:val="1ED5336A"/>
    <w:rsid w:val="1EE475B3"/>
    <w:rsid w:val="1F07260B"/>
    <w:rsid w:val="1F1555E0"/>
    <w:rsid w:val="1F5472F6"/>
    <w:rsid w:val="1F663A3C"/>
    <w:rsid w:val="1F692A18"/>
    <w:rsid w:val="1F6E7EA0"/>
    <w:rsid w:val="1F805BBC"/>
    <w:rsid w:val="1F977435"/>
    <w:rsid w:val="1FD722BF"/>
    <w:rsid w:val="1FE73C5F"/>
    <w:rsid w:val="1FF47A42"/>
    <w:rsid w:val="1FF877BF"/>
    <w:rsid w:val="20172F34"/>
    <w:rsid w:val="202915A2"/>
    <w:rsid w:val="202B60E6"/>
    <w:rsid w:val="20362975"/>
    <w:rsid w:val="2038536A"/>
    <w:rsid w:val="204539A1"/>
    <w:rsid w:val="206F21C4"/>
    <w:rsid w:val="207019F5"/>
    <w:rsid w:val="20BD2209"/>
    <w:rsid w:val="20DD7A52"/>
    <w:rsid w:val="21087874"/>
    <w:rsid w:val="2110179A"/>
    <w:rsid w:val="21346507"/>
    <w:rsid w:val="21435719"/>
    <w:rsid w:val="21457AA6"/>
    <w:rsid w:val="2184057F"/>
    <w:rsid w:val="218B71E4"/>
    <w:rsid w:val="219C3283"/>
    <w:rsid w:val="219C4AB4"/>
    <w:rsid w:val="21B51E22"/>
    <w:rsid w:val="21B76AE0"/>
    <w:rsid w:val="21B84EC7"/>
    <w:rsid w:val="21CB5E96"/>
    <w:rsid w:val="21F52FB5"/>
    <w:rsid w:val="22104B50"/>
    <w:rsid w:val="223C008F"/>
    <w:rsid w:val="22425C0C"/>
    <w:rsid w:val="22472B4C"/>
    <w:rsid w:val="22643497"/>
    <w:rsid w:val="226C0259"/>
    <w:rsid w:val="22794F14"/>
    <w:rsid w:val="227F77DE"/>
    <w:rsid w:val="228C22C8"/>
    <w:rsid w:val="229442B5"/>
    <w:rsid w:val="22C67959"/>
    <w:rsid w:val="22CC1243"/>
    <w:rsid w:val="22CD4861"/>
    <w:rsid w:val="22FB0688"/>
    <w:rsid w:val="231C0C23"/>
    <w:rsid w:val="232063A6"/>
    <w:rsid w:val="23302797"/>
    <w:rsid w:val="23635693"/>
    <w:rsid w:val="23695458"/>
    <w:rsid w:val="236B4B54"/>
    <w:rsid w:val="239F4B3B"/>
    <w:rsid w:val="23B76FD3"/>
    <w:rsid w:val="23C44AC9"/>
    <w:rsid w:val="23C77CF5"/>
    <w:rsid w:val="23D91C9F"/>
    <w:rsid w:val="23ED7ADD"/>
    <w:rsid w:val="240C6AFA"/>
    <w:rsid w:val="2439673C"/>
    <w:rsid w:val="2448342E"/>
    <w:rsid w:val="245C48D7"/>
    <w:rsid w:val="24687094"/>
    <w:rsid w:val="246E108F"/>
    <w:rsid w:val="24A249FE"/>
    <w:rsid w:val="24F07DEA"/>
    <w:rsid w:val="24F33632"/>
    <w:rsid w:val="24F61C74"/>
    <w:rsid w:val="24F76ADF"/>
    <w:rsid w:val="25066EF6"/>
    <w:rsid w:val="25073214"/>
    <w:rsid w:val="25123735"/>
    <w:rsid w:val="251701E9"/>
    <w:rsid w:val="2518296A"/>
    <w:rsid w:val="2577655A"/>
    <w:rsid w:val="25962E66"/>
    <w:rsid w:val="25A45288"/>
    <w:rsid w:val="25A95A2D"/>
    <w:rsid w:val="25BA098C"/>
    <w:rsid w:val="25CC2AB8"/>
    <w:rsid w:val="26066D6F"/>
    <w:rsid w:val="26235A5B"/>
    <w:rsid w:val="262E24B2"/>
    <w:rsid w:val="264D50BF"/>
    <w:rsid w:val="268B284C"/>
    <w:rsid w:val="26A26BEE"/>
    <w:rsid w:val="26C7367F"/>
    <w:rsid w:val="26CD70F0"/>
    <w:rsid w:val="26DF7D21"/>
    <w:rsid w:val="26FE1742"/>
    <w:rsid w:val="26FF1B22"/>
    <w:rsid w:val="2701248A"/>
    <w:rsid w:val="27015D0E"/>
    <w:rsid w:val="27062BE3"/>
    <w:rsid w:val="27071F7A"/>
    <w:rsid w:val="2715643E"/>
    <w:rsid w:val="27244C4A"/>
    <w:rsid w:val="272B4880"/>
    <w:rsid w:val="274F6261"/>
    <w:rsid w:val="27583085"/>
    <w:rsid w:val="277A093D"/>
    <w:rsid w:val="278241BD"/>
    <w:rsid w:val="27971706"/>
    <w:rsid w:val="279767AD"/>
    <w:rsid w:val="27D81CDE"/>
    <w:rsid w:val="27F5029B"/>
    <w:rsid w:val="280755BB"/>
    <w:rsid w:val="28192DB0"/>
    <w:rsid w:val="282E727D"/>
    <w:rsid w:val="286D29E1"/>
    <w:rsid w:val="28770115"/>
    <w:rsid w:val="288714FD"/>
    <w:rsid w:val="28CC3AA7"/>
    <w:rsid w:val="28EA436C"/>
    <w:rsid w:val="28F50A1C"/>
    <w:rsid w:val="28F60DE6"/>
    <w:rsid w:val="29092232"/>
    <w:rsid w:val="29215BA4"/>
    <w:rsid w:val="29464BB4"/>
    <w:rsid w:val="29660000"/>
    <w:rsid w:val="298A5CBE"/>
    <w:rsid w:val="299F1B80"/>
    <w:rsid w:val="299F78B6"/>
    <w:rsid w:val="29A65A1D"/>
    <w:rsid w:val="29AF38AF"/>
    <w:rsid w:val="29B4634A"/>
    <w:rsid w:val="29D839EE"/>
    <w:rsid w:val="29E26E44"/>
    <w:rsid w:val="29EA6C76"/>
    <w:rsid w:val="29F10992"/>
    <w:rsid w:val="2A087DD3"/>
    <w:rsid w:val="2A1651D7"/>
    <w:rsid w:val="2A2E1289"/>
    <w:rsid w:val="2A5C1545"/>
    <w:rsid w:val="2A723401"/>
    <w:rsid w:val="2A8229CD"/>
    <w:rsid w:val="2A8453B1"/>
    <w:rsid w:val="2A863051"/>
    <w:rsid w:val="2A9920D3"/>
    <w:rsid w:val="2AA56CCB"/>
    <w:rsid w:val="2AD94769"/>
    <w:rsid w:val="2AE20CB3"/>
    <w:rsid w:val="2AE37315"/>
    <w:rsid w:val="2B025D3A"/>
    <w:rsid w:val="2B05422A"/>
    <w:rsid w:val="2B2412CD"/>
    <w:rsid w:val="2B2433DD"/>
    <w:rsid w:val="2B5128AA"/>
    <w:rsid w:val="2B7045BE"/>
    <w:rsid w:val="2B9D7C99"/>
    <w:rsid w:val="2BA90F52"/>
    <w:rsid w:val="2BAB53B1"/>
    <w:rsid w:val="2BAE00CD"/>
    <w:rsid w:val="2BB51544"/>
    <w:rsid w:val="2BC346BE"/>
    <w:rsid w:val="2BCE5F07"/>
    <w:rsid w:val="2BE16598"/>
    <w:rsid w:val="2BF269A7"/>
    <w:rsid w:val="2C1C696A"/>
    <w:rsid w:val="2C213622"/>
    <w:rsid w:val="2C251899"/>
    <w:rsid w:val="2C5174E0"/>
    <w:rsid w:val="2C5618F8"/>
    <w:rsid w:val="2C576226"/>
    <w:rsid w:val="2C6A365C"/>
    <w:rsid w:val="2C6A4C9E"/>
    <w:rsid w:val="2C877A43"/>
    <w:rsid w:val="2C8F59B2"/>
    <w:rsid w:val="2CE22AB5"/>
    <w:rsid w:val="2D0E75CB"/>
    <w:rsid w:val="2D112A95"/>
    <w:rsid w:val="2D3B6B6E"/>
    <w:rsid w:val="2D3E6ECA"/>
    <w:rsid w:val="2D6E469E"/>
    <w:rsid w:val="2D794E30"/>
    <w:rsid w:val="2D845825"/>
    <w:rsid w:val="2D9A7120"/>
    <w:rsid w:val="2DAE0E9E"/>
    <w:rsid w:val="2DC368FE"/>
    <w:rsid w:val="2DC50F24"/>
    <w:rsid w:val="2DE435D2"/>
    <w:rsid w:val="2DF36570"/>
    <w:rsid w:val="2E020384"/>
    <w:rsid w:val="2E0657F6"/>
    <w:rsid w:val="2E235B1A"/>
    <w:rsid w:val="2E2876E5"/>
    <w:rsid w:val="2E2D4D5E"/>
    <w:rsid w:val="2E3512B9"/>
    <w:rsid w:val="2E38145F"/>
    <w:rsid w:val="2E4C6472"/>
    <w:rsid w:val="2E51544B"/>
    <w:rsid w:val="2E653976"/>
    <w:rsid w:val="2E7A2898"/>
    <w:rsid w:val="2E846D0F"/>
    <w:rsid w:val="2EB0439F"/>
    <w:rsid w:val="2ECF2A5B"/>
    <w:rsid w:val="2EE144CD"/>
    <w:rsid w:val="2F151E78"/>
    <w:rsid w:val="2F2D4173"/>
    <w:rsid w:val="2F363B5E"/>
    <w:rsid w:val="2F3C308F"/>
    <w:rsid w:val="2F5027CF"/>
    <w:rsid w:val="2F580D25"/>
    <w:rsid w:val="2F7C4F2B"/>
    <w:rsid w:val="2F8278DB"/>
    <w:rsid w:val="2F8E2339"/>
    <w:rsid w:val="2F9C7A54"/>
    <w:rsid w:val="2F9D6043"/>
    <w:rsid w:val="2FB33234"/>
    <w:rsid w:val="2FC04163"/>
    <w:rsid w:val="2FD71C09"/>
    <w:rsid w:val="300246FB"/>
    <w:rsid w:val="300356FE"/>
    <w:rsid w:val="3006129D"/>
    <w:rsid w:val="30374F7F"/>
    <w:rsid w:val="303D7BBD"/>
    <w:rsid w:val="30781753"/>
    <w:rsid w:val="30A81CC6"/>
    <w:rsid w:val="30B03B01"/>
    <w:rsid w:val="30B5333E"/>
    <w:rsid w:val="30E72FF9"/>
    <w:rsid w:val="30F90549"/>
    <w:rsid w:val="31012C04"/>
    <w:rsid w:val="312232E5"/>
    <w:rsid w:val="312A7191"/>
    <w:rsid w:val="313C614E"/>
    <w:rsid w:val="314D5E4A"/>
    <w:rsid w:val="31505DAD"/>
    <w:rsid w:val="31532F2D"/>
    <w:rsid w:val="316A23B3"/>
    <w:rsid w:val="318320A8"/>
    <w:rsid w:val="3197191D"/>
    <w:rsid w:val="31A40879"/>
    <w:rsid w:val="31C1309B"/>
    <w:rsid w:val="31CD7106"/>
    <w:rsid w:val="31D35252"/>
    <w:rsid w:val="31DD643F"/>
    <w:rsid w:val="31F57EDC"/>
    <w:rsid w:val="320C1BA8"/>
    <w:rsid w:val="3261753D"/>
    <w:rsid w:val="327D6BCE"/>
    <w:rsid w:val="32AA5A6C"/>
    <w:rsid w:val="32B56792"/>
    <w:rsid w:val="32BC30EA"/>
    <w:rsid w:val="32C51192"/>
    <w:rsid w:val="32CD43F3"/>
    <w:rsid w:val="32E96E02"/>
    <w:rsid w:val="32EE7C35"/>
    <w:rsid w:val="32F6382E"/>
    <w:rsid w:val="332848FF"/>
    <w:rsid w:val="334B3568"/>
    <w:rsid w:val="334D0786"/>
    <w:rsid w:val="337209DA"/>
    <w:rsid w:val="337A5889"/>
    <w:rsid w:val="339F0933"/>
    <w:rsid w:val="33AD49FD"/>
    <w:rsid w:val="33B33591"/>
    <w:rsid w:val="33C40DAF"/>
    <w:rsid w:val="33CB50F6"/>
    <w:rsid w:val="33EA5773"/>
    <w:rsid w:val="34156596"/>
    <w:rsid w:val="341579FF"/>
    <w:rsid w:val="343B1E3D"/>
    <w:rsid w:val="34602496"/>
    <w:rsid w:val="346660FB"/>
    <w:rsid w:val="347B2C27"/>
    <w:rsid w:val="3480762C"/>
    <w:rsid w:val="34AA4B8B"/>
    <w:rsid w:val="34B563E2"/>
    <w:rsid w:val="34C71782"/>
    <w:rsid w:val="34C814CC"/>
    <w:rsid w:val="34CA2810"/>
    <w:rsid w:val="34E16FD5"/>
    <w:rsid w:val="34F73875"/>
    <w:rsid w:val="35033E04"/>
    <w:rsid w:val="35040319"/>
    <w:rsid w:val="350A1874"/>
    <w:rsid w:val="350C4714"/>
    <w:rsid w:val="351A087B"/>
    <w:rsid w:val="35270B41"/>
    <w:rsid w:val="352D2926"/>
    <w:rsid w:val="353323D5"/>
    <w:rsid w:val="35884450"/>
    <w:rsid w:val="35925C72"/>
    <w:rsid w:val="35973F2D"/>
    <w:rsid w:val="35AA14AC"/>
    <w:rsid w:val="35AB2C1A"/>
    <w:rsid w:val="35C26DEE"/>
    <w:rsid w:val="35CD487A"/>
    <w:rsid w:val="35DC5C4D"/>
    <w:rsid w:val="360F267E"/>
    <w:rsid w:val="36183C10"/>
    <w:rsid w:val="363377F1"/>
    <w:rsid w:val="364B11F1"/>
    <w:rsid w:val="3656237B"/>
    <w:rsid w:val="365A50BB"/>
    <w:rsid w:val="366D44BE"/>
    <w:rsid w:val="366E68DA"/>
    <w:rsid w:val="367C2848"/>
    <w:rsid w:val="36881F0D"/>
    <w:rsid w:val="36C41867"/>
    <w:rsid w:val="36CC24F7"/>
    <w:rsid w:val="36D44917"/>
    <w:rsid w:val="37035FD3"/>
    <w:rsid w:val="370E4C3C"/>
    <w:rsid w:val="37161670"/>
    <w:rsid w:val="373347E4"/>
    <w:rsid w:val="373C3CC0"/>
    <w:rsid w:val="375436D4"/>
    <w:rsid w:val="37545502"/>
    <w:rsid w:val="375C6DE7"/>
    <w:rsid w:val="37855348"/>
    <w:rsid w:val="37927D6C"/>
    <w:rsid w:val="37AC1188"/>
    <w:rsid w:val="37BB5FAF"/>
    <w:rsid w:val="37BE5191"/>
    <w:rsid w:val="37D4606B"/>
    <w:rsid w:val="37FA4F3B"/>
    <w:rsid w:val="37FC235E"/>
    <w:rsid w:val="380B3412"/>
    <w:rsid w:val="381F5E35"/>
    <w:rsid w:val="382160D9"/>
    <w:rsid w:val="3824090E"/>
    <w:rsid w:val="383813C8"/>
    <w:rsid w:val="38385008"/>
    <w:rsid w:val="385244BD"/>
    <w:rsid w:val="38623892"/>
    <w:rsid w:val="38650C3E"/>
    <w:rsid w:val="388809BB"/>
    <w:rsid w:val="388A07DC"/>
    <w:rsid w:val="38A62A03"/>
    <w:rsid w:val="38E431AE"/>
    <w:rsid w:val="38F57B5C"/>
    <w:rsid w:val="38FD2469"/>
    <w:rsid w:val="39225E0E"/>
    <w:rsid w:val="39241F58"/>
    <w:rsid w:val="39334744"/>
    <w:rsid w:val="393B5DBC"/>
    <w:rsid w:val="3948026B"/>
    <w:rsid w:val="3956604D"/>
    <w:rsid w:val="39596A9E"/>
    <w:rsid w:val="397C09AF"/>
    <w:rsid w:val="39A1679C"/>
    <w:rsid w:val="39D85F93"/>
    <w:rsid w:val="39F12A70"/>
    <w:rsid w:val="3A0C10F7"/>
    <w:rsid w:val="3A132F16"/>
    <w:rsid w:val="3A1B3237"/>
    <w:rsid w:val="3A336103"/>
    <w:rsid w:val="3A5E2010"/>
    <w:rsid w:val="3A624860"/>
    <w:rsid w:val="3A8466E8"/>
    <w:rsid w:val="3A93517E"/>
    <w:rsid w:val="3AC47EA1"/>
    <w:rsid w:val="3ACD5302"/>
    <w:rsid w:val="3AE315CD"/>
    <w:rsid w:val="3B32130D"/>
    <w:rsid w:val="3B42434C"/>
    <w:rsid w:val="3B4D3297"/>
    <w:rsid w:val="3B6602C2"/>
    <w:rsid w:val="3B6B1EA1"/>
    <w:rsid w:val="3BB23CB7"/>
    <w:rsid w:val="3BE55A8F"/>
    <w:rsid w:val="3BF44C1A"/>
    <w:rsid w:val="3BF83E8B"/>
    <w:rsid w:val="3C030505"/>
    <w:rsid w:val="3C322FDB"/>
    <w:rsid w:val="3C34574B"/>
    <w:rsid w:val="3C3B65B2"/>
    <w:rsid w:val="3C41148F"/>
    <w:rsid w:val="3C5A2D1C"/>
    <w:rsid w:val="3C6B3A85"/>
    <w:rsid w:val="3C7941AB"/>
    <w:rsid w:val="3C8072CD"/>
    <w:rsid w:val="3C8822D8"/>
    <w:rsid w:val="3C902B42"/>
    <w:rsid w:val="3CA11971"/>
    <w:rsid w:val="3CB05034"/>
    <w:rsid w:val="3CB37024"/>
    <w:rsid w:val="3CCA430A"/>
    <w:rsid w:val="3CD31C2F"/>
    <w:rsid w:val="3CE47750"/>
    <w:rsid w:val="3D057F7D"/>
    <w:rsid w:val="3D0976C4"/>
    <w:rsid w:val="3D1918BE"/>
    <w:rsid w:val="3D2A616E"/>
    <w:rsid w:val="3D4752E9"/>
    <w:rsid w:val="3D57036F"/>
    <w:rsid w:val="3D6D2026"/>
    <w:rsid w:val="3D794CDF"/>
    <w:rsid w:val="3D7E34D1"/>
    <w:rsid w:val="3D8865C5"/>
    <w:rsid w:val="3D8C258A"/>
    <w:rsid w:val="3D9B3979"/>
    <w:rsid w:val="3DA7157D"/>
    <w:rsid w:val="3DCB279B"/>
    <w:rsid w:val="3E0347A6"/>
    <w:rsid w:val="3E2604DF"/>
    <w:rsid w:val="3E31063F"/>
    <w:rsid w:val="3E350391"/>
    <w:rsid w:val="3E37139E"/>
    <w:rsid w:val="3E386E20"/>
    <w:rsid w:val="3E596B0D"/>
    <w:rsid w:val="3E5C5F16"/>
    <w:rsid w:val="3E7E6A1E"/>
    <w:rsid w:val="3EB71924"/>
    <w:rsid w:val="3EFB3029"/>
    <w:rsid w:val="3F080E1B"/>
    <w:rsid w:val="3F137118"/>
    <w:rsid w:val="3F2D48AD"/>
    <w:rsid w:val="3F3527DB"/>
    <w:rsid w:val="3F610CAF"/>
    <w:rsid w:val="3F612FE0"/>
    <w:rsid w:val="3F6949C7"/>
    <w:rsid w:val="3F7E5D02"/>
    <w:rsid w:val="3F92191C"/>
    <w:rsid w:val="3F973918"/>
    <w:rsid w:val="3FB62E0C"/>
    <w:rsid w:val="3FC82AC9"/>
    <w:rsid w:val="3FCD00E1"/>
    <w:rsid w:val="3FE808C7"/>
    <w:rsid w:val="402F14D9"/>
    <w:rsid w:val="4042437C"/>
    <w:rsid w:val="40437225"/>
    <w:rsid w:val="40666255"/>
    <w:rsid w:val="407A7E92"/>
    <w:rsid w:val="40852B71"/>
    <w:rsid w:val="40A56A55"/>
    <w:rsid w:val="40AD4389"/>
    <w:rsid w:val="40C05DFA"/>
    <w:rsid w:val="40C660AB"/>
    <w:rsid w:val="40D04F96"/>
    <w:rsid w:val="40F15AB5"/>
    <w:rsid w:val="412F650A"/>
    <w:rsid w:val="413C06E4"/>
    <w:rsid w:val="413C4901"/>
    <w:rsid w:val="4154383A"/>
    <w:rsid w:val="415826D8"/>
    <w:rsid w:val="416A77B2"/>
    <w:rsid w:val="41915BB2"/>
    <w:rsid w:val="41AF1BF3"/>
    <w:rsid w:val="41CE2015"/>
    <w:rsid w:val="41D86674"/>
    <w:rsid w:val="41FD2F74"/>
    <w:rsid w:val="42092064"/>
    <w:rsid w:val="42293D69"/>
    <w:rsid w:val="4264324C"/>
    <w:rsid w:val="427E562E"/>
    <w:rsid w:val="429C414E"/>
    <w:rsid w:val="42C22B34"/>
    <w:rsid w:val="42C433F4"/>
    <w:rsid w:val="42C719AF"/>
    <w:rsid w:val="42C80D37"/>
    <w:rsid w:val="42C958C7"/>
    <w:rsid w:val="42CB40E5"/>
    <w:rsid w:val="42D87109"/>
    <w:rsid w:val="42E6571C"/>
    <w:rsid w:val="42F624A6"/>
    <w:rsid w:val="43297F3D"/>
    <w:rsid w:val="434C069A"/>
    <w:rsid w:val="43595962"/>
    <w:rsid w:val="43707565"/>
    <w:rsid w:val="43763D21"/>
    <w:rsid w:val="43814E59"/>
    <w:rsid w:val="438E377F"/>
    <w:rsid w:val="43DF1D34"/>
    <w:rsid w:val="4412373D"/>
    <w:rsid w:val="44273D36"/>
    <w:rsid w:val="445F20C0"/>
    <w:rsid w:val="44846EF4"/>
    <w:rsid w:val="448B20BD"/>
    <w:rsid w:val="44CE2554"/>
    <w:rsid w:val="44D00889"/>
    <w:rsid w:val="44D07B17"/>
    <w:rsid w:val="44DB3186"/>
    <w:rsid w:val="44F11AA7"/>
    <w:rsid w:val="451F4606"/>
    <w:rsid w:val="453146CD"/>
    <w:rsid w:val="45331686"/>
    <w:rsid w:val="455A36D4"/>
    <w:rsid w:val="45642733"/>
    <w:rsid w:val="456D0411"/>
    <w:rsid w:val="458E66C3"/>
    <w:rsid w:val="45DD4161"/>
    <w:rsid w:val="45FB5915"/>
    <w:rsid w:val="462875A5"/>
    <w:rsid w:val="462E6C0B"/>
    <w:rsid w:val="464C6D58"/>
    <w:rsid w:val="46822E59"/>
    <w:rsid w:val="46A401F3"/>
    <w:rsid w:val="46CA31BA"/>
    <w:rsid w:val="46F9166B"/>
    <w:rsid w:val="47024B89"/>
    <w:rsid w:val="47077F50"/>
    <w:rsid w:val="471A4C24"/>
    <w:rsid w:val="47342BDC"/>
    <w:rsid w:val="473E5175"/>
    <w:rsid w:val="475A0EB2"/>
    <w:rsid w:val="475B3E56"/>
    <w:rsid w:val="475D24DC"/>
    <w:rsid w:val="475E4BEA"/>
    <w:rsid w:val="477247B6"/>
    <w:rsid w:val="47766E62"/>
    <w:rsid w:val="477D403A"/>
    <w:rsid w:val="479E21BE"/>
    <w:rsid w:val="47B1479B"/>
    <w:rsid w:val="47CB5980"/>
    <w:rsid w:val="47E7569B"/>
    <w:rsid w:val="47EE57CA"/>
    <w:rsid w:val="48013C3B"/>
    <w:rsid w:val="48130AD0"/>
    <w:rsid w:val="488739F0"/>
    <w:rsid w:val="48940A99"/>
    <w:rsid w:val="48A1080A"/>
    <w:rsid w:val="48AF7BB0"/>
    <w:rsid w:val="48BA78DE"/>
    <w:rsid w:val="48C2276C"/>
    <w:rsid w:val="48CA70FD"/>
    <w:rsid w:val="48CB5058"/>
    <w:rsid w:val="48CC1107"/>
    <w:rsid w:val="48CC2435"/>
    <w:rsid w:val="490D4C4F"/>
    <w:rsid w:val="49226462"/>
    <w:rsid w:val="49245FC4"/>
    <w:rsid w:val="495A71BA"/>
    <w:rsid w:val="499814CB"/>
    <w:rsid w:val="499C42E2"/>
    <w:rsid w:val="49AD7160"/>
    <w:rsid w:val="49DE4975"/>
    <w:rsid w:val="49E52E89"/>
    <w:rsid w:val="49FA026B"/>
    <w:rsid w:val="49FA3470"/>
    <w:rsid w:val="4A0F7CD0"/>
    <w:rsid w:val="4A13621F"/>
    <w:rsid w:val="4A4164B2"/>
    <w:rsid w:val="4A596B7C"/>
    <w:rsid w:val="4A5E3A23"/>
    <w:rsid w:val="4A92373A"/>
    <w:rsid w:val="4AA043AA"/>
    <w:rsid w:val="4AAA3DF6"/>
    <w:rsid w:val="4ABA51D3"/>
    <w:rsid w:val="4ABD1A49"/>
    <w:rsid w:val="4AC524EA"/>
    <w:rsid w:val="4ACF2739"/>
    <w:rsid w:val="4AD16E3D"/>
    <w:rsid w:val="4AD8080B"/>
    <w:rsid w:val="4AE9572E"/>
    <w:rsid w:val="4B0D6B6F"/>
    <w:rsid w:val="4B0F5985"/>
    <w:rsid w:val="4B135433"/>
    <w:rsid w:val="4B17556D"/>
    <w:rsid w:val="4B196D3E"/>
    <w:rsid w:val="4B2323B1"/>
    <w:rsid w:val="4B341D66"/>
    <w:rsid w:val="4B364DC6"/>
    <w:rsid w:val="4B447FCD"/>
    <w:rsid w:val="4B46248B"/>
    <w:rsid w:val="4B491CB7"/>
    <w:rsid w:val="4B592C8E"/>
    <w:rsid w:val="4B6C7A8E"/>
    <w:rsid w:val="4B8B35BA"/>
    <w:rsid w:val="4B8D6483"/>
    <w:rsid w:val="4B994F91"/>
    <w:rsid w:val="4BB37EFB"/>
    <w:rsid w:val="4BBD33CE"/>
    <w:rsid w:val="4BC75233"/>
    <w:rsid w:val="4C0421B8"/>
    <w:rsid w:val="4C322809"/>
    <w:rsid w:val="4C571578"/>
    <w:rsid w:val="4C5B7BDE"/>
    <w:rsid w:val="4CAA6DEC"/>
    <w:rsid w:val="4CBB5870"/>
    <w:rsid w:val="4CC53948"/>
    <w:rsid w:val="4CE20A90"/>
    <w:rsid w:val="4CED7915"/>
    <w:rsid w:val="4CF5588C"/>
    <w:rsid w:val="4D0E12D1"/>
    <w:rsid w:val="4D1E6527"/>
    <w:rsid w:val="4D291727"/>
    <w:rsid w:val="4D2A6786"/>
    <w:rsid w:val="4D3913B2"/>
    <w:rsid w:val="4D6553D0"/>
    <w:rsid w:val="4D681C3A"/>
    <w:rsid w:val="4D6D2EAB"/>
    <w:rsid w:val="4D7B6F33"/>
    <w:rsid w:val="4D864C58"/>
    <w:rsid w:val="4D8E1EF1"/>
    <w:rsid w:val="4D976B7C"/>
    <w:rsid w:val="4DAA76F7"/>
    <w:rsid w:val="4DBE1C1A"/>
    <w:rsid w:val="4DC757F7"/>
    <w:rsid w:val="4DDF297B"/>
    <w:rsid w:val="4DEA3CCA"/>
    <w:rsid w:val="4DEA3F79"/>
    <w:rsid w:val="4DED0A75"/>
    <w:rsid w:val="4DED6593"/>
    <w:rsid w:val="4DEF06D0"/>
    <w:rsid w:val="4DFF0486"/>
    <w:rsid w:val="4DFF3300"/>
    <w:rsid w:val="4E0C0B2F"/>
    <w:rsid w:val="4E195D27"/>
    <w:rsid w:val="4E197ACF"/>
    <w:rsid w:val="4E823F93"/>
    <w:rsid w:val="4E88368C"/>
    <w:rsid w:val="4EC877D1"/>
    <w:rsid w:val="4ED41388"/>
    <w:rsid w:val="4F0B28A6"/>
    <w:rsid w:val="4F0F5605"/>
    <w:rsid w:val="4F152E93"/>
    <w:rsid w:val="4F1E0322"/>
    <w:rsid w:val="4F203DE0"/>
    <w:rsid w:val="4F5E454A"/>
    <w:rsid w:val="4F71384F"/>
    <w:rsid w:val="4F72431F"/>
    <w:rsid w:val="4F7341F6"/>
    <w:rsid w:val="4FA90FFB"/>
    <w:rsid w:val="4FAA2CAC"/>
    <w:rsid w:val="4FBE780A"/>
    <w:rsid w:val="4FEB7BA3"/>
    <w:rsid w:val="4FF442B8"/>
    <w:rsid w:val="4FF74036"/>
    <w:rsid w:val="501778F7"/>
    <w:rsid w:val="5023371B"/>
    <w:rsid w:val="502626FD"/>
    <w:rsid w:val="50391A7A"/>
    <w:rsid w:val="503A7D50"/>
    <w:rsid w:val="50573EE0"/>
    <w:rsid w:val="50687EE1"/>
    <w:rsid w:val="50825ABD"/>
    <w:rsid w:val="50847E24"/>
    <w:rsid w:val="508B2042"/>
    <w:rsid w:val="508B53AC"/>
    <w:rsid w:val="50A117D4"/>
    <w:rsid w:val="50C4701B"/>
    <w:rsid w:val="50D75CBB"/>
    <w:rsid w:val="50DC48AF"/>
    <w:rsid w:val="50F1625A"/>
    <w:rsid w:val="5102357E"/>
    <w:rsid w:val="5124215A"/>
    <w:rsid w:val="51320B4E"/>
    <w:rsid w:val="517806BF"/>
    <w:rsid w:val="518E7F9C"/>
    <w:rsid w:val="519B7926"/>
    <w:rsid w:val="51B15013"/>
    <w:rsid w:val="51E62428"/>
    <w:rsid w:val="51E72DE3"/>
    <w:rsid w:val="51FC0860"/>
    <w:rsid w:val="52056F9A"/>
    <w:rsid w:val="5222697F"/>
    <w:rsid w:val="527375B5"/>
    <w:rsid w:val="527F3658"/>
    <w:rsid w:val="52AF7810"/>
    <w:rsid w:val="52B96A43"/>
    <w:rsid w:val="52D93B7C"/>
    <w:rsid w:val="52E0721B"/>
    <w:rsid w:val="52E7467F"/>
    <w:rsid w:val="530379C0"/>
    <w:rsid w:val="530D4FE1"/>
    <w:rsid w:val="53146363"/>
    <w:rsid w:val="5318224A"/>
    <w:rsid w:val="531D29E0"/>
    <w:rsid w:val="53211D72"/>
    <w:rsid w:val="5334399F"/>
    <w:rsid w:val="533A3138"/>
    <w:rsid w:val="534F2E9A"/>
    <w:rsid w:val="537D1372"/>
    <w:rsid w:val="539E64B1"/>
    <w:rsid w:val="53BD419B"/>
    <w:rsid w:val="53EC05F2"/>
    <w:rsid w:val="53F01B21"/>
    <w:rsid w:val="53FF22C9"/>
    <w:rsid w:val="54124691"/>
    <w:rsid w:val="541773F1"/>
    <w:rsid w:val="543F3D3C"/>
    <w:rsid w:val="544E4D2A"/>
    <w:rsid w:val="54564524"/>
    <w:rsid w:val="54A35663"/>
    <w:rsid w:val="54A52B04"/>
    <w:rsid w:val="54BE1FF3"/>
    <w:rsid w:val="54E57E48"/>
    <w:rsid w:val="54FE4E27"/>
    <w:rsid w:val="55061C05"/>
    <w:rsid w:val="550D4C7E"/>
    <w:rsid w:val="55140A9B"/>
    <w:rsid w:val="55361973"/>
    <w:rsid w:val="557306DE"/>
    <w:rsid w:val="557D1DE7"/>
    <w:rsid w:val="55826059"/>
    <w:rsid w:val="55B577AC"/>
    <w:rsid w:val="55B840E3"/>
    <w:rsid w:val="55C20305"/>
    <w:rsid w:val="55DB2816"/>
    <w:rsid w:val="55DB4169"/>
    <w:rsid w:val="55EC5F0D"/>
    <w:rsid w:val="55EE133D"/>
    <w:rsid w:val="55FE4619"/>
    <w:rsid w:val="56021E2A"/>
    <w:rsid w:val="560A0CCC"/>
    <w:rsid w:val="560A7BA7"/>
    <w:rsid w:val="561735FB"/>
    <w:rsid w:val="561E24B4"/>
    <w:rsid w:val="56506387"/>
    <w:rsid w:val="5659451E"/>
    <w:rsid w:val="567233E3"/>
    <w:rsid w:val="56813D12"/>
    <w:rsid w:val="56AB3E87"/>
    <w:rsid w:val="56D53EDE"/>
    <w:rsid w:val="56DA600B"/>
    <w:rsid w:val="56E97CDD"/>
    <w:rsid w:val="56FE0584"/>
    <w:rsid w:val="570F757A"/>
    <w:rsid w:val="573B17CB"/>
    <w:rsid w:val="573D4E87"/>
    <w:rsid w:val="574D66E5"/>
    <w:rsid w:val="5781514F"/>
    <w:rsid w:val="578A65BF"/>
    <w:rsid w:val="578D15B1"/>
    <w:rsid w:val="57A25E51"/>
    <w:rsid w:val="57AB467D"/>
    <w:rsid w:val="57BD0D84"/>
    <w:rsid w:val="57E45843"/>
    <w:rsid w:val="57E74C14"/>
    <w:rsid w:val="57F77A99"/>
    <w:rsid w:val="58003366"/>
    <w:rsid w:val="58036FF1"/>
    <w:rsid w:val="58077F06"/>
    <w:rsid w:val="58181CFA"/>
    <w:rsid w:val="581F31B7"/>
    <w:rsid w:val="585B2F03"/>
    <w:rsid w:val="58733B38"/>
    <w:rsid w:val="58803767"/>
    <w:rsid w:val="58807951"/>
    <w:rsid w:val="58DF4006"/>
    <w:rsid w:val="58E16AB8"/>
    <w:rsid w:val="591D14AE"/>
    <w:rsid w:val="591F64C4"/>
    <w:rsid w:val="59272B65"/>
    <w:rsid w:val="59284BD5"/>
    <w:rsid w:val="593928F1"/>
    <w:rsid w:val="59396980"/>
    <w:rsid w:val="596E2614"/>
    <w:rsid w:val="598376AF"/>
    <w:rsid w:val="59847F15"/>
    <w:rsid w:val="59930AFF"/>
    <w:rsid w:val="59B30F36"/>
    <w:rsid w:val="59E00D5A"/>
    <w:rsid w:val="59E35308"/>
    <w:rsid w:val="5A0C150A"/>
    <w:rsid w:val="5A151319"/>
    <w:rsid w:val="5A7E4921"/>
    <w:rsid w:val="5A8A3DB1"/>
    <w:rsid w:val="5A972372"/>
    <w:rsid w:val="5AA9184E"/>
    <w:rsid w:val="5AD24F14"/>
    <w:rsid w:val="5AD433FA"/>
    <w:rsid w:val="5ADC5520"/>
    <w:rsid w:val="5AE31628"/>
    <w:rsid w:val="5B1B7F7F"/>
    <w:rsid w:val="5B2D4419"/>
    <w:rsid w:val="5B4A6C1A"/>
    <w:rsid w:val="5B747B40"/>
    <w:rsid w:val="5B7E795F"/>
    <w:rsid w:val="5BA3302A"/>
    <w:rsid w:val="5BC85BF2"/>
    <w:rsid w:val="5BD15CD7"/>
    <w:rsid w:val="5BD62506"/>
    <w:rsid w:val="5C0B668D"/>
    <w:rsid w:val="5C281CBF"/>
    <w:rsid w:val="5C34538D"/>
    <w:rsid w:val="5C3475D5"/>
    <w:rsid w:val="5C375F97"/>
    <w:rsid w:val="5C3D50CB"/>
    <w:rsid w:val="5C3F2313"/>
    <w:rsid w:val="5C516B1B"/>
    <w:rsid w:val="5C7F704A"/>
    <w:rsid w:val="5CD003EE"/>
    <w:rsid w:val="5CD040F7"/>
    <w:rsid w:val="5CDB0255"/>
    <w:rsid w:val="5CE24AA7"/>
    <w:rsid w:val="5CE70E3E"/>
    <w:rsid w:val="5CED0783"/>
    <w:rsid w:val="5D0040C4"/>
    <w:rsid w:val="5D1B5705"/>
    <w:rsid w:val="5D3559DA"/>
    <w:rsid w:val="5D3868D0"/>
    <w:rsid w:val="5D3C099D"/>
    <w:rsid w:val="5D3D5F84"/>
    <w:rsid w:val="5D464C29"/>
    <w:rsid w:val="5D5825E3"/>
    <w:rsid w:val="5D72396D"/>
    <w:rsid w:val="5D771884"/>
    <w:rsid w:val="5D86192F"/>
    <w:rsid w:val="5D96394F"/>
    <w:rsid w:val="5DBA38F1"/>
    <w:rsid w:val="5DCC1CA1"/>
    <w:rsid w:val="5DD61E64"/>
    <w:rsid w:val="5DDE6469"/>
    <w:rsid w:val="5DF6043F"/>
    <w:rsid w:val="5DFB29AC"/>
    <w:rsid w:val="5DFE13F7"/>
    <w:rsid w:val="5E0A56D8"/>
    <w:rsid w:val="5E1E33A9"/>
    <w:rsid w:val="5E230800"/>
    <w:rsid w:val="5E26484A"/>
    <w:rsid w:val="5E271CE1"/>
    <w:rsid w:val="5E3039E4"/>
    <w:rsid w:val="5E3B3CA9"/>
    <w:rsid w:val="5E420794"/>
    <w:rsid w:val="5E4F6457"/>
    <w:rsid w:val="5E53162C"/>
    <w:rsid w:val="5EA64280"/>
    <w:rsid w:val="5F103D27"/>
    <w:rsid w:val="5F162C38"/>
    <w:rsid w:val="5F187502"/>
    <w:rsid w:val="5F2B21C2"/>
    <w:rsid w:val="5F3C0A57"/>
    <w:rsid w:val="5F88394B"/>
    <w:rsid w:val="5F8A6E4E"/>
    <w:rsid w:val="5F924DC1"/>
    <w:rsid w:val="5F926F9A"/>
    <w:rsid w:val="5F9D1A24"/>
    <w:rsid w:val="5FB77513"/>
    <w:rsid w:val="5FB95257"/>
    <w:rsid w:val="5FC56653"/>
    <w:rsid w:val="5FC94E65"/>
    <w:rsid w:val="5FD93159"/>
    <w:rsid w:val="5FE51AA0"/>
    <w:rsid w:val="5FE837F5"/>
    <w:rsid w:val="5FF6617D"/>
    <w:rsid w:val="5FFE2592"/>
    <w:rsid w:val="604134CD"/>
    <w:rsid w:val="606E7A1F"/>
    <w:rsid w:val="60BC2341"/>
    <w:rsid w:val="60DB6CD0"/>
    <w:rsid w:val="60DB75D3"/>
    <w:rsid w:val="60DD6312"/>
    <w:rsid w:val="60FB7FB7"/>
    <w:rsid w:val="612643E9"/>
    <w:rsid w:val="61354954"/>
    <w:rsid w:val="61563D8A"/>
    <w:rsid w:val="618445A0"/>
    <w:rsid w:val="618668C8"/>
    <w:rsid w:val="61947E33"/>
    <w:rsid w:val="61A947B4"/>
    <w:rsid w:val="61B13F9A"/>
    <w:rsid w:val="61BC05B0"/>
    <w:rsid w:val="61BD6E89"/>
    <w:rsid w:val="61DB3F5A"/>
    <w:rsid w:val="62007B87"/>
    <w:rsid w:val="62063C95"/>
    <w:rsid w:val="620D7238"/>
    <w:rsid w:val="624B26EF"/>
    <w:rsid w:val="625B6D3E"/>
    <w:rsid w:val="626A7258"/>
    <w:rsid w:val="626B4E79"/>
    <w:rsid w:val="627D15E7"/>
    <w:rsid w:val="62825BE6"/>
    <w:rsid w:val="62851CDD"/>
    <w:rsid w:val="628859DA"/>
    <w:rsid w:val="62915577"/>
    <w:rsid w:val="62A6519B"/>
    <w:rsid w:val="62A71108"/>
    <w:rsid w:val="62B12EE3"/>
    <w:rsid w:val="62C872A0"/>
    <w:rsid w:val="62FE2453"/>
    <w:rsid w:val="63087D5F"/>
    <w:rsid w:val="632623AE"/>
    <w:rsid w:val="6327460D"/>
    <w:rsid w:val="6334467B"/>
    <w:rsid w:val="634B6A33"/>
    <w:rsid w:val="63537050"/>
    <w:rsid w:val="6366073D"/>
    <w:rsid w:val="637451BA"/>
    <w:rsid w:val="63856835"/>
    <w:rsid w:val="638C7095"/>
    <w:rsid w:val="63CF499A"/>
    <w:rsid w:val="63E57241"/>
    <w:rsid w:val="63F77826"/>
    <w:rsid w:val="63FC22D5"/>
    <w:rsid w:val="641102F8"/>
    <w:rsid w:val="642E6100"/>
    <w:rsid w:val="643C1AB8"/>
    <w:rsid w:val="6443539F"/>
    <w:rsid w:val="64481CC9"/>
    <w:rsid w:val="648264B3"/>
    <w:rsid w:val="64B74F47"/>
    <w:rsid w:val="64CC68C2"/>
    <w:rsid w:val="64D16070"/>
    <w:rsid w:val="64EA06EC"/>
    <w:rsid w:val="64EB5CA0"/>
    <w:rsid w:val="64F91C54"/>
    <w:rsid w:val="65031CD1"/>
    <w:rsid w:val="650352E9"/>
    <w:rsid w:val="65053E1E"/>
    <w:rsid w:val="65054FBD"/>
    <w:rsid w:val="650B73ED"/>
    <w:rsid w:val="651764CE"/>
    <w:rsid w:val="653675E7"/>
    <w:rsid w:val="654044E6"/>
    <w:rsid w:val="65420171"/>
    <w:rsid w:val="65526949"/>
    <w:rsid w:val="659B4923"/>
    <w:rsid w:val="65AA2A10"/>
    <w:rsid w:val="65AC7322"/>
    <w:rsid w:val="65BD2836"/>
    <w:rsid w:val="65CD0D2C"/>
    <w:rsid w:val="65D5075D"/>
    <w:rsid w:val="65FC49E9"/>
    <w:rsid w:val="660857CD"/>
    <w:rsid w:val="662A0A38"/>
    <w:rsid w:val="662F3C6F"/>
    <w:rsid w:val="663E05B9"/>
    <w:rsid w:val="66486107"/>
    <w:rsid w:val="66494234"/>
    <w:rsid w:val="665011DF"/>
    <w:rsid w:val="666E19C1"/>
    <w:rsid w:val="6684029B"/>
    <w:rsid w:val="668D2269"/>
    <w:rsid w:val="669A7F65"/>
    <w:rsid w:val="66B35A7A"/>
    <w:rsid w:val="66BE3E0D"/>
    <w:rsid w:val="66CD6B78"/>
    <w:rsid w:val="66D76328"/>
    <w:rsid w:val="66E50D0E"/>
    <w:rsid w:val="66EC2A81"/>
    <w:rsid w:val="66F34071"/>
    <w:rsid w:val="67247A5C"/>
    <w:rsid w:val="672B1A53"/>
    <w:rsid w:val="6743567D"/>
    <w:rsid w:val="67542584"/>
    <w:rsid w:val="676446DD"/>
    <w:rsid w:val="679F40EA"/>
    <w:rsid w:val="67A35A6A"/>
    <w:rsid w:val="67B553BC"/>
    <w:rsid w:val="67C30AB2"/>
    <w:rsid w:val="67C95196"/>
    <w:rsid w:val="67C95523"/>
    <w:rsid w:val="67CA1D3D"/>
    <w:rsid w:val="67D773AA"/>
    <w:rsid w:val="67F84C30"/>
    <w:rsid w:val="67FF2BC6"/>
    <w:rsid w:val="680C0D40"/>
    <w:rsid w:val="682F10B1"/>
    <w:rsid w:val="68381DB4"/>
    <w:rsid w:val="686C5C90"/>
    <w:rsid w:val="686F76CA"/>
    <w:rsid w:val="6885706D"/>
    <w:rsid w:val="68946DA9"/>
    <w:rsid w:val="68E77426"/>
    <w:rsid w:val="691664C7"/>
    <w:rsid w:val="691C565D"/>
    <w:rsid w:val="691C697F"/>
    <w:rsid w:val="693A0334"/>
    <w:rsid w:val="693D1528"/>
    <w:rsid w:val="69836008"/>
    <w:rsid w:val="69841C93"/>
    <w:rsid w:val="69892653"/>
    <w:rsid w:val="69CB37D4"/>
    <w:rsid w:val="69CC7479"/>
    <w:rsid w:val="69D34F89"/>
    <w:rsid w:val="69DF2062"/>
    <w:rsid w:val="69E43C45"/>
    <w:rsid w:val="69E72042"/>
    <w:rsid w:val="69EA2DA1"/>
    <w:rsid w:val="69F5715D"/>
    <w:rsid w:val="6A0270A5"/>
    <w:rsid w:val="6A1211D1"/>
    <w:rsid w:val="6A270136"/>
    <w:rsid w:val="6A337291"/>
    <w:rsid w:val="6A5128E7"/>
    <w:rsid w:val="6A555782"/>
    <w:rsid w:val="6A617017"/>
    <w:rsid w:val="6A62085F"/>
    <w:rsid w:val="6A897109"/>
    <w:rsid w:val="6A9F20FF"/>
    <w:rsid w:val="6AA21A20"/>
    <w:rsid w:val="6AC04C83"/>
    <w:rsid w:val="6AD20DD9"/>
    <w:rsid w:val="6AE63DC1"/>
    <w:rsid w:val="6AEB79DF"/>
    <w:rsid w:val="6AEF0C5E"/>
    <w:rsid w:val="6B31046B"/>
    <w:rsid w:val="6B3E4F25"/>
    <w:rsid w:val="6B400911"/>
    <w:rsid w:val="6B41632D"/>
    <w:rsid w:val="6B58268D"/>
    <w:rsid w:val="6B5E017E"/>
    <w:rsid w:val="6BA0669E"/>
    <w:rsid w:val="6BCB6198"/>
    <w:rsid w:val="6C1908AC"/>
    <w:rsid w:val="6C2D5854"/>
    <w:rsid w:val="6C407908"/>
    <w:rsid w:val="6C6D2D0D"/>
    <w:rsid w:val="6C7453DE"/>
    <w:rsid w:val="6C7718C5"/>
    <w:rsid w:val="6C855301"/>
    <w:rsid w:val="6C873C82"/>
    <w:rsid w:val="6CA854E7"/>
    <w:rsid w:val="6CBC13F4"/>
    <w:rsid w:val="6CBF535D"/>
    <w:rsid w:val="6CC1411B"/>
    <w:rsid w:val="6CD25BDE"/>
    <w:rsid w:val="6CD96E17"/>
    <w:rsid w:val="6CDC3602"/>
    <w:rsid w:val="6CE429C3"/>
    <w:rsid w:val="6CF442B7"/>
    <w:rsid w:val="6CFC0574"/>
    <w:rsid w:val="6D016666"/>
    <w:rsid w:val="6D1F041D"/>
    <w:rsid w:val="6D20661E"/>
    <w:rsid w:val="6D2C35A5"/>
    <w:rsid w:val="6D2D20B0"/>
    <w:rsid w:val="6D2F7FBE"/>
    <w:rsid w:val="6D3F2AD9"/>
    <w:rsid w:val="6D4C79DE"/>
    <w:rsid w:val="6D6B612F"/>
    <w:rsid w:val="6D6E66AA"/>
    <w:rsid w:val="6D7B4B1B"/>
    <w:rsid w:val="6D7E20F4"/>
    <w:rsid w:val="6D8650A8"/>
    <w:rsid w:val="6D8C026B"/>
    <w:rsid w:val="6DA97C2D"/>
    <w:rsid w:val="6DAE46A2"/>
    <w:rsid w:val="6DB81367"/>
    <w:rsid w:val="6DCD605F"/>
    <w:rsid w:val="6DDA1144"/>
    <w:rsid w:val="6DF767A3"/>
    <w:rsid w:val="6E000787"/>
    <w:rsid w:val="6E091096"/>
    <w:rsid w:val="6E4352D1"/>
    <w:rsid w:val="6E737441"/>
    <w:rsid w:val="6E794766"/>
    <w:rsid w:val="6EA2051F"/>
    <w:rsid w:val="6EB67528"/>
    <w:rsid w:val="6EBC030F"/>
    <w:rsid w:val="6ED82720"/>
    <w:rsid w:val="6EE569A9"/>
    <w:rsid w:val="6EE7690C"/>
    <w:rsid w:val="6F0C05FE"/>
    <w:rsid w:val="6F1B21A6"/>
    <w:rsid w:val="6F2F55F5"/>
    <w:rsid w:val="6F4F5D13"/>
    <w:rsid w:val="6F64004E"/>
    <w:rsid w:val="6F833ED3"/>
    <w:rsid w:val="6F9F2571"/>
    <w:rsid w:val="6FB85F0F"/>
    <w:rsid w:val="6FBC771B"/>
    <w:rsid w:val="6FE12463"/>
    <w:rsid w:val="6FE31E38"/>
    <w:rsid w:val="6FFF24DD"/>
    <w:rsid w:val="700B69B6"/>
    <w:rsid w:val="70127C44"/>
    <w:rsid w:val="7016717C"/>
    <w:rsid w:val="701F46BD"/>
    <w:rsid w:val="702558EB"/>
    <w:rsid w:val="703F5E65"/>
    <w:rsid w:val="704F6C8A"/>
    <w:rsid w:val="70512CBB"/>
    <w:rsid w:val="7079340F"/>
    <w:rsid w:val="70994583"/>
    <w:rsid w:val="70B4479E"/>
    <w:rsid w:val="70B7737C"/>
    <w:rsid w:val="70CA22B7"/>
    <w:rsid w:val="70D06298"/>
    <w:rsid w:val="70D37054"/>
    <w:rsid w:val="70D91AB3"/>
    <w:rsid w:val="70F34603"/>
    <w:rsid w:val="70F40C26"/>
    <w:rsid w:val="710700C0"/>
    <w:rsid w:val="71263532"/>
    <w:rsid w:val="71300A50"/>
    <w:rsid w:val="713F7E5E"/>
    <w:rsid w:val="71706F3E"/>
    <w:rsid w:val="71B44AB6"/>
    <w:rsid w:val="71F42486"/>
    <w:rsid w:val="72085F0E"/>
    <w:rsid w:val="721C28D2"/>
    <w:rsid w:val="7248108B"/>
    <w:rsid w:val="724A05E8"/>
    <w:rsid w:val="724D54DA"/>
    <w:rsid w:val="725F7746"/>
    <w:rsid w:val="72730565"/>
    <w:rsid w:val="727C18EF"/>
    <w:rsid w:val="72811853"/>
    <w:rsid w:val="72863D2F"/>
    <w:rsid w:val="729907F9"/>
    <w:rsid w:val="72BC0523"/>
    <w:rsid w:val="72C214EC"/>
    <w:rsid w:val="72C36FCF"/>
    <w:rsid w:val="72CF32EF"/>
    <w:rsid w:val="72D37019"/>
    <w:rsid w:val="72FC6229"/>
    <w:rsid w:val="731B5ACD"/>
    <w:rsid w:val="733166AE"/>
    <w:rsid w:val="734A083A"/>
    <w:rsid w:val="73700FA4"/>
    <w:rsid w:val="7370261A"/>
    <w:rsid w:val="7370719A"/>
    <w:rsid w:val="738C1DEC"/>
    <w:rsid w:val="739447BA"/>
    <w:rsid w:val="73B52044"/>
    <w:rsid w:val="73C504E1"/>
    <w:rsid w:val="73CD5085"/>
    <w:rsid w:val="73DC22BF"/>
    <w:rsid w:val="73FD0B65"/>
    <w:rsid w:val="740D1911"/>
    <w:rsid w:val="741065A6"/>
    <w:rsid w:val="74207B19"/>
    <w:rsid w:val="74261C2A"/>
    <w:rsid w:val="743E4FDA"/>
    <w:rsid w:val="74454306"/>
    <w:rsid w:val="745D14B7"/>
    <w:rsid w:val="745E627A"/>
    <w:rsid w:val="746C1E9B"/>
    <w:rsid w:val="747D7980"/>
    <w:rsid w:val="74824798"/>
    <w:rsid w:val="74972FBE"/>
    <w:rsid w:val="74BE1A94"/>
    <w:rsid w:val="74C30E43"/>
    <w:rsid w:val="74E03946"/>
    <w:rsid w:val="7502185A"/>
    <w:rsid w:val="75153B4C"/>
    <w:rsid w:val="751F5A9C"/>
    <w:rsid w:val="7553092D"/>
    <w:rsid w:val="75543D02"/>
    <w:rsid w:val="755B7EA8"/>
    <w:rsid w:val="75647D48"/>
    <w:rsid w:val="75790CA9"/>
    <w:rsid w:val="758B5769"/>
    <w:rsid w:val="7595642F"/>
    <w:rsid w:val="75EC2AB7"/>
    <w:rsid w:val="76075D1D"/>
    <w:rsid w:val="763F7F9F"/>
    <w:rsid w:val="76495049"/>
    <w:rsid w:val="76630CD8"/>
    <w:rsid w:val="76655660"/>
    <w:rsid w:val="76685F07"/>
    <w:rsid w:val="76711288"/>
    <w:rsid w:val="769650A8"/>
    <w:rsid w:val="769F52A1"/>
    <w:rsid w:val="76D31F1A"/>
    <w:rsid w:val="76EE55AC"/>
    <w:rsid w:val="76F220C7"/>
    <w:rsid w:val="76FB1845"/>
    <w:rsid w:val="77212905"/>
    <w:rsid w:val="772671D2"/>
    <w:rsid w:val="772B7B7A"/>
    <w:rsid w:val="77405661"/>
    <w:rsid w:val="77440E21"/>
    <w:rsid w:val="774C717E"/>
    <w:rsid w:val="7757490B"/>
    <w:rsid w:val="776A123C"/>
    <w:rsid w:val="776C4678"/>
    <w:rsid w:val="779D028F"/>
    <w:rsid w:val="779F79D2"/>
    <w:rsid w:val="77AE4C12"/>
    <w:rsid w:val="77AF0389"/>
    <w:rsid w:val="77B839B2"/>
    <w:rsid w:val="77E43CB3"/>
    <w:rsid w:val="78073DB2"/>
    <w:rsid w:val="78121F2E"/>
    <w:rsid w:val="78344EE6"/>
    <w:rsid w:val="783A61D4"/>
    <w:rsid w:val="7844255D"/>
    <w:rsid w:val="78444A87"/>
    <w:rsid w:val="78453FE1"/>
    <w:rsid w:val="784721A0"/>
    <w:rsid w:val="786368AB"/>
    <w:rsid w:val="786A6D50"/>
    <w:rsid w:val="7885742D"/>
    <w:rsid w:val="788A7B6A"/>
    <w:rsid w:val="78930C08"/>
    <w:rsid w:val="78972FCD"/>
    <w:rsid w:val="78A00DA0"/>
    <w:rsid w:val="78A77995"/>
    <w:rsid w:val="78B54A54"/>
    <w:rsid w:val="78CB0D53"/>
    <w:rsid w:val="78CB0DF5"/>
    <w:rsid w:val="78D90277"/>
    <w:rsid w:val="78EA6ECE"/>
    <w:rsid w:val="78F42241"/>
    <w:rsid w:val="78F66B43"/>
    <w:rsid w:val="7907149F"/>
    <w:rsid w:val="792E5ADB"/>
    <w:rsid w:val="793A736F"/>
    <w:rsid w:val="795A6E1D"/>
    <w:rsid w:val="79630533"/>
    <w:rsid w:val="7972680A"/>
    <w:rsid w:val="797F6540"/>
    <w:rsid w:val="79B35723"/>
    <w:rsid w:val="79F62DC3"/>
    <w:rsid w:val="7A030083"/>
    <w:rsid w:val="7A131062"/>
    <w:rsid w:val="7A435623"/>
    <w:rsid w:val="7A5A4664"/>
    <w:rsid w:val="7A7923DF"/>
    <w:rsid w:val="7A912DCF"/>
    <w:rsid w:val="7A990E28"/>
    <w:rsid w:val="7AA53ED3"/>
    <w:rsid w:val="7AF00FBF"/>
    <w:rsid w:val="7B0D535B"/>
    <w:rsid w:val="7B0D6371"/>
    <w:rsid w:val="7B425546"/>
    <w:rsid w:val="7B487FCD"/>
    <w:rsid w:val="7B591191"/>
    <w:rsid w:val="7B5E2D46"/>
    <w:rsid w:val="7B5E6CB8"/>
    <w:rsid w:val="7B62387C"/>
    <w:rsid w:val="7B631AB3"/>
    <w:rsid w:val="7B6F03C6"/>
    <w:rsid w:val="7B715A61"/>
    <w:rsid w:val="7B7A0A7E"/>
    <w:rsid w:val="7B7C01F3"/>
    <w:rsid w:val="7B874454"/>
    <w:rsid w:val="7B8E0777"/>
    <w:rsid w:val="7B9A1458"/>
    <w:rsid w:val="7BB0072A"/>
    <w:rsid w:val="7BBC5734"/>
    <w:rsid w:val="7BBC7656"/>
    <w:rsid w:val="7BC71E77"/>
    <w:rsid w:val="7BE81FC4"/>
    <w:rsid w:val="7BF662EE"/>
    <w:rsid w:val="7BF7021D"/>
    <w:rsid w:val="7C046466"/>
    <w:rsid w:val="7C064377"/>
    <w:rsid w:val="7C360F6F"/>
    <w:rsid w:val="7C536936"/>
    <w:rsid w:val="7C566DBD"/>
    <w:rsid w:val="7C585E3C"/>
    <w:rsid w:val="7C816FEB"/>
    <w:rsid w:val="7CA06101"/>
    <w:rsid w:val="7CCA141A"/>
    <w:rsid w:val="7CE945FD"/>
    <w:rsid w:val="7CF01E50"/>
    <w:rsid w:val="7D254BDC"/>
    <w:rsid w:val="7D2D083F"/>
    <w:rsid w:val="7D3E08EA"/>
    <w:rsid w:val="7D703797"/>
    <w:rsid w:val="7D783084"/>
    <w:rsid w:val="7D802FD9"/>
    <w:rsid w:val="7D841415"/>
    <w:rsid w:val="7D90280C"/>
    <w:rsid w:val="7D944A58"/>
    <w:rsid w:val="7D957053"/>
    <w:rsid w:val="7DCA10FF"/>
    <w:rsid w:val="7DD11077"/>
    <w:rsid w:val="7DE54373"/>
    <w:rsid w:val="7DF7205D"/>
    <w:rsid w:val="7E3A69F0"/>
    <w:rsid w:val="7E3F5765"/>
    <w:rsid w:val="7E597CD7"/>
    <w:rsid w:val="7E5A355A"/>
    <w:rsid w:val="7E8C126A"/>
    <w:rsid w:val="7EB0558F"/>
    <w:rsid w:val="7EE948C9"/>
    <w:rsid w:val="7EF62377"/>
    <w:rsid w:val="7EF96EB6"/>
    <w:rsid w:val="7EFF54A2"/>
    <w:rsid w:val="7F0A2079"/>
    <w:rsid w:val="7F1B49D7"/>
    <w:rsid w:val="7F1E72A6"/>
    <w:rsid w:val="7F3D15CE"/>
    <w:rsid w:val="7F3E2C29"/>
    <w:rsid w:val="7F4A43D7"/>
    <w:rsid w:val="7F5A0AE0"/>
    <w:rsid w:val="7FA6487B"/>
    <w:rsid w:val="7FAA6540"/>
    <w:rsid w:val="7FB23E78"/>
    <w:rsid w:val="7FBA00B3"/>
    <w:rsid w:val="7FDD30DF"/>
    <w:rsid w:val="7FE50AD5"/>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iPriority="0" w:semiHidden="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99" w:semiHidden="0" w:name="List"/>
    <w:lsdException w:uiPriority="0" w:name="List Bullet"/>
    <w:lsdException w:unhideWhenUsed="0" w:uiPriority="0" w:semiHidden="0" w:name="List Number"/>
    <w:lsdException w:qFormat="1" w:uiPriority="99"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iPriority="99" w:semiHidden="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2"/>
    <w:basedOn w:val="1"/>
    <w:next w:val="1"/>
    <w:link w:val="78"/>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5">
    <w:name w:val="heading 3"/>
    <w:basedOn w:val="1"/>
    <w:next w:val="6"/>
    <w:link w:val="86"/>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paragraph" w:styleId="7">
    <w:name w:val="heading 4"/>
    <w:basedOn w:val="1"/>
    <w:next w:val="1"/>
    <w:qFormat/>
    <w:uiPriority w:val="9"/>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33">
    <w:name w:val="Default Paragraph Font"/>
    <w:link w:val="34"/>
    <w:semiHidden/>
    <w:unhideWhenUsed/>
    <w:qFormat/>
    <w:uiPriority w:val="1"/>
  </w:style>
  <w:style w:type="table" w:default="1" w:styleId="3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 w:type="paragraph" w:styleId="6">
    <w:name w:val="Normal Indent"/>
    <w:basedOn w:val="1"/>
    <w:link w:val="58"/>
    <w:qFormat/>
    <w:uiPriority w:val="0"/>
    <w:pPr>
      <w:autoSpaceDE w:val="0"/>
      <w:autoSpaceDN w:val="0"/>
      <w:adjustRightInd w:val="0"/>
      <w:ind w:firstLine="420"/>
      <w:jc w:val="left"/>
    </w:pPr>
    <w:rPr>
      <w:rFonts w:ascii="宋体"/>
      <w:kern w:val="0"/>
      <w:sz w:val="24"/>
      <w:szCs w:val="20"/>
    </w:rPr>
  </w:style>
  <w:style w:type="paragraph" w:styleId="8">
    <w:name w:val="Document Map"/>
    <w:basedOn w:val="1"/>
    <w:link w:val="50"/>
    <w:qFormat/>
    <w:uiPriority w:val="0"/>
    <w:rPr>
      <w:rFonts w:ascii="宋体"/>
      <w:sz w:val="18"/>
      <w:szCs w:val="18"/>
    </w:rPr>
  </w:style>
  <w:style w:type="paragraph" w:styleId="9">
    <w:name w:val="annotation text"/>
    <w:basedOn w:val="1"/>
    <w:link w:val="51"/>
    <w:qFormat/>
    <w:uiPriority w:val="99"/>
    <w:pPr>
      <w:jc w:val="left"/>
    </w:pPr>
    <w:rPr>
      <w:rFonts w:ascii="仿宋_GB2312" w:eastAsia="仿宋_GB2312"/>
      <w:sz w:val="32"/>
      <w:szCs w:val="32"/>
    </w:rPr>
  </w:style>
  <w:style w:type="paragraph" w:styleId="10">
    <w:name w:val="Body Text"/>
    <w:basedOn w:val="1"/>
    <w:qFormat/>
    <w:uiPriority w:val="0"/>
    <w:pPr>
      <w:tabs>
        <w:tab w:val="left" w:pos="567"/>
      </w:tabs>
      <w:spacing w:before="120" w:line="22" w:lineRule="atLeast"/>
    </w:pPr>
    <w:rPr>
      <w:rFonts w:ascii="宋体" w:hAnsi="宋体"/>
      <w:sz w:val="24"/>
    </w:rPr>
  </w:style>
  <w:style w:type="paragraph" w:styleId="11">
    <w:name w:val="Body Text Indent"/>
    <w:basedOn w:val="1"/>
    <w:next w:val="12"/>
    <w:link w:val="57"/>
    <w:qFormat/>
    <w:uiPriority w:val="0"/>
    <w:pPr>
      <w:spacing w:after="120"/>
      <w:ind w:left="420" w:leftChars="200"/>
    </w:pPr>
  </w:style>
  <w:style w:type="paragraph" w:styleId="12">
    <w:name w:val="envelope return"/>
    <w:basedOn w:val="1"/>
    <w:unhideWhenUsed/>
    <w:qFormat/>
    <w:uiPriority w:val="99"/>
    <w:pPr>
      <w:snapToGrid w:val="0"/>
    </w:pPr>
    <w:rPr>
      <w:rFonts w:hint="eastAsia" w:ascii="Arial" w:hAnsi="Arial"/>
      <w:sz w:val="21"/>
    </w:rPr>
  </w:style>
  <w:style w:type="paragraph" w:styleId="13">
    <w:name w:val="List 2"/>
    <w:basedOn w:val="1"/>
    <w:unhideWhenUsed/>
    <w:qFormat/>
    <w:uiPriority w:val="99"/>
    <w:pPr>
      <w:ind w:left="100" w:leftChars="200" w:hanging="200" w:hangingChars="200"/>
    </w:pPr>
  </w:style>
  <w:style w:type="paragraph" w:styleId="14">
    <w:name w:val="List Continue"/>
    <w:basedOn w:val="1"/>
    <w:unhideWhenUsed/>
    <w:qFormat/>
    <w:uiPriority w:val="99"/>
    <w:pPr>
      <w:spacing w:after="120" w:afterLines="0"/>
      <w:ind w:left="420" w:leftChars="200"/>
    </w:pPr>
  </w:style>
  <w:style w:type="paragraph" w:styleId="15">
    <w:name w:val="toc 3"/>
    <w:basedOn w:val="1"/>
    <w:next w:val="1"/>
    <w:link w:val="88"/>
    <w:qFormat/>
    <w:uiPriority w:val="39"/>
    <w:pPr>
      <w:spacing w:line="500" w:lineRule="exact"/>
      <w:ind w:left="400" w:leftChars="400"/>
    </w:pPr>
    <w:rPr>
      <w:kern w:val="0"/>
      <w:sz w:val="24"/>
      <w:szCs w:val="20"/>
    </w:rPr>
  </w:style>
  <w:style w:type="paragraph" w:styleId="16">
    <w:name w:val="Plain Text"/>
    <w:basedOn w:val="1"/>
    <w:link w:val="55"/>
    <w:qFormat/>
    <w:uiPriority w:val="0"/>
    <w:rPr>
      <w:rFonts w:ascii="宋体" w:hAnsi="Courier New"/>
      <w:szCs w:val="20"/>
    </w:rPr>
  </w:style>
  <w:style w:type="paragraph" w:styleId="17">
    <w:name w:val="Date"/>
    <w:basedOn w:val="1"/>
    <w:next w:val="1"/>
    <w:link w:val="59"/>
    <w:qFormat/>
    <w:uiPriority w:val="0"/>
    <w:pPr>
      <w:ind w:left="100" w:leftChars="2500"/>
    </w:pPr>
  </w:style>
  <w:style w:type="paragraph" w:styleId="18">
    <w:name w:val="Body Text Indent 2"/>
    <w:basedOn w:val="1"/>
    <w:qFormat/>
    <w:uiPriority w:val="0"/>
    <w:pPr>
      <w:spacing w:after="120" w:line="480" w:lineRule="auto"/>
      <w:ind w:left="420" w:leftChars="200"/>
    </w:pPr>
  </w:style>
  <w:style w:type="paragraph" w:styleId="19">
    <w:name w:val="Balloon Text"/>
    <w:basedOn w:val="1"/>
    <w:semiHidden/>
    <w:qFormat/>
    <w:uiPriority w:val="0"/>
    <w:rPr>
      <w:sz w:val="18"/>
      <w:szCs w:val="18"/>
    </w:rPr>
  </w:style>
  <w:style w:type="paragraph" w:styleId="20">
    <w:name w:val="footer"/>
    <w:basedOn w:val="1"/>
    <w:link w:val="56"/>
    <w:qFormat/>
    <w:uiPriority w:val="99"/>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left" w:pos="1260"/>
        <w:tab w:val="right" w:leader="dot" w:pos="9060"/>
      </w:tabs>
      <w:spacing w:line="500" w:lineRule="exact"/>
    </w:pPr>
    <w:rPr>
      <w:sz w:val="24"/>
    </w:rPr>
  </w:style>
  <w:style w:type="paragraph" w:styleId="23">
    <w:name w:val="toc 4"/>
    <w:basedOn w:val="1"/>
    <w:next w:val="1"/>
    <w:unhideWhenUsed/>
    <w:qFormat/>
    <w:uiPriority w:val="39"/>
    <w:pPr>
      <w:adjustRightInd w:val="0"/>
      <w:snapToGrid w:val="0"/>
      <w:spacing w:before="62" w:beforeLines="20" w:after="62" w:afterLines="20"/>
      <w:ind w:left="630"/>
      <w:jc w:val="left"/>
    </w:pPr>
    <w:rPr>
      <w:sz w:val="24"/>
    </w:rPr>
  </w:style>
  <w:style w:type="paragraph" w:styleId="24">
    <w:name w:val="index heading"/>
    <w:basedOn w:val="1"/>
    <w:next w:val="25"/>
    <w:unhideWhenUsed/>
    <w:qFormat/>
    <w:uiPriority w:val="0"/>
  </w:style>
  <w:style w:type="paragraph" w:styleId="25">
    <w:name w:val="index 1"/>
    <w:basedOn w:val="1"/>
    <w:next w:val="1"/>
    <w:semiHidden/>
    <w:qFormat/>
    <w:uiPriority w:val="0"/>
    <w:rPr>
      <w:szCs w:val="20"/>
    </w:rPr>
  </w:style>
  <w:style w:type="paragraph" w:styleId="26">
    <w:name w:val="List"/>
    <w:basedOn w:val="1"/>
    <w:unhideWhenUsed/>
    <w:qFormat/>
    <w:uiPriority w:val="99"/>
    <w:pPr>
      <w:ind w:left="200" w:hanging="200" w:hangingChars="200"/>
    </w:pPr>
  </w:style>
  <w:style w:type="paragraph" w:styleId="27">
    <w:name w:val="toc 2"/>
    <w:basedOn w:val="1"/>
    <w:next w:val="1"/>
    <w:qFormat/>
    <w:uiPriority w:val="39"/>
    <w:pPr>
      <w:spacing w:line="500" w:lineRule="exact"/>
      <w:ind w:left="200" w:leftChars="200"/>
    </w:pPr>
    <w:rPr>
      <w:sz w:val="24"/>
    </w:rPr>
  </w:style>
  <w:style w:type="paragraph" w:styleId="28">
    <w:name w:val="Normal (Web)"/>
    <w:basedOn w:val="1"/>
    <w:semiHidden/>
    <w:unhideWhenUsed/>
    <w:qFormat/>
    <w:uiPriority w:val="0"/>
    <w:rPr>
      <w:sz w:val="24"/>
    </w:rPr>
  </w:style>
  <w:style w:type="paragraph" w:styleId="29">
    <w:name w:val="annotation subject"/>
    <w:basedOn w:val="9"/>
    <w:next w:val="9"/>
    <w:semiHidden/>
    <w:qFormat/>
    <w:uiPriority w:val="0"/>
    <w:rPr>
      <w:rFonts w:ascii="Times New Roman" w:eastAsia="宋体"/>
      <w:b/>
      <w:bCs/>
      <w:sz w:val="21"/>
      <w:szCs w:val="24"/>
    </w:rPr>
  </w:style>
  <w:style w:type="paragraph" w:styleId="30">
    <w:name w:val="Body Text First Indent 2"/>
    <w:basedOn w:val="11"/>
    <w:unhideWhenUsed/>
    <w:qFormat/>
    <w:uiPriority w:val="99"/>
    <w:pPr>
      <w:spacing w:after="120"/>
      <w:ind w:left="420" w:leftChars="200" w:firstLine="420"/>
    </w:pPr>
    <w:rPr>
      <w:rFonts w:ascii="Times New Roman"/>
      <w:sz w:val="21"/>
      <w:szCs w:val="24"/>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4">
    <w:name w:val=" Char Char1"/>
    <w:basedOn w:val="1"/>
    <w:link w:val="33"/>
    <w:qFormat/>
    <w:uiPriority w:val="0"/>
  </w:style>
  <w:style w:type="character" w:styleId="35">
    <w:name w:val="Strong"/>
    <w:qFormat/>
    <w:uiPriority w:val="0"/>
    <w:rPr>
      <w:b/>
      <w:bCs/>
    </w:rPr>
  </w:style>
  <w:style w:type="character" w:styleId="36">
    <w:name w:val="page number"/>
    <w:basedOn w:val="33"/>
    <w:qFormat/>
    <w:uiPriority w:val="0"/>
  </w:style>
  <w:style w:type="character" w:styleId="37">
    <w:name w:val="FollowedHyperlink"/>
    <w:basedOn w:val="33"/>
    <w:qFormat/>
    <w:uiPriority w:val="0"/>
    <w:rPr>
      <w:color w:val="5C5C5C"/>
      <w:u w:val="none"/>
    </w:rPr>
  </w:style>
  <w:style w:type="character" w:styleId="38">
    <w:name w:val="Emphasis"/>
    <w:basedOn w:val="33"/>
    <w:qFormat/>
    <w:uiPriority w:val="0"/>
    <w:rPr>
      <w:b/>
      <w:bCs/>
    </w:rPr>
  </w:style>
  <w:style w:type="character" w:styleId="39">
    <w:name w:val="HTML Definition"/>
    <w:basedOn w:val="33"/>
    <w:semiHidden/>
    <w:unhideWhenUsed/>
    <w:qFormat/>
    <w:uiPriority w:val="0"/>
  </w:style>
  <w:style w:type="character" w:styleId="40">
    <w:name w:val="HTML Typewriter"/>
    <w:basedOn w:val="33"/>
    <w:semiHidden/>
    <w:unhideWhenUsed/>
    <w:qFormat/>
    <w:uiPriority w:val="0"/>
    <w:rPr>
      <w:rFonts w:hint="default" w:ascii="monospace" w:hAnsi="monospace" w:eastAsia="monospace" w:cs="monospace"/>
      <w:sz w:val="20"/>
    </w:rPr>
  </w:style>
  <w:style w:type="character" w:styleId="41">
    <w:name w:val="HTML Acronym"/>
    <w:basedOn w:val="33"/>
    <w:semiHidden/>
    <w:unhideWhenUsed/>
    <w:qFormat/>
    <w:uiPriority w:val="0"/>
    <w:rPr>
      <w:bdr w:val="dashed" w:color="2590EB" w:sz="2" w:space="0"/>
    </w:rPr>
  </w:style>
  <w:style w:type="character" w:styleId="42">
    <w:name w:val="HTML Variable"/>
    <w:basedOn w:val="33"/>
    <w:semiHidden/>
    <w:unhideWhenUsed/>
    <w:qFormat/>
    <w:uiPriority w:val="0"/>
  </w:style>
  <w:style w:type="character" w:styleId="43">
    <w:name w:val="Hyperlink"/>
    <w:basedOn w:val="33"/>
    <w:qFormat/>
    <w:uiPriority w:val="99"/>
    <w:rPr>
      <w:color w:val="5C5C5C"/>
      <w:u w:val="none"/>
    </w:rPr>
  </w:style>
  <w:style w:type="character" w:styleId="44">
    <w:name w:val="HTML Code"/>
    <w:basedOn w:val="33"/>
    <w:semiHidden/>
    <w:unhideWhenUsed/>
    <w:qFormat/>
    <w:uiPriority w:val="0"/>
    <w:rPr>
      <w:rFonts w:hint="default" w:ascii="monospace" w:hAnsi="monospace" w:eastAsia="monospace" w:cs="monospace"/>
      <w:sz w:val="20"/>
    </w:rPr>
  </w:style>
  <w:style w:type="character" w:styleId="45">
    <w:name w:val="annotation reference"/>
    <w:semiHidden/>
    <w:qFormat/>
    <w:uiPriority w:val="99"/>
    <w:rPr>
      <w:sz w:val="21"/>
      <w:szCs w:val="21"/>
    </w:rPr>
  </w:style>
  <w:style w:type="character" w:styleId="46">
    <w:name w:val="HTML Cite"/>
    <w:basedOn w:val="33"/>
    <w:semiHidden/>
    <w:unhideWhenUsed/>
    <w:qFormat/>
    <w:uiPriority w:val="0"/>
  </w:style>
  <w:style w:type="character" w:styleId="47">
    <w:name w:val="HTML Keyboard"/>
    <w:basedOn w:val="33"/>
    <w:semiHidden/>
    <w:unhideWhenUsed/>
    <w:qFormat/>
    <w:uiPriority w:val="0"/>
    <w:rPr>
      <w:rFonts w:hint="default" w:ascii="monospace" w:hAnsi="monospace" w:eastAsia="monospace" w:cs="monospace"/>
      <w:sz w:val="20"/>
    </w:rPr>
  </w:style>
  <w:style w:type="character" w:styleId="48">
    <w:name w:val="HTML Sample"/>
    <w:basedOn w:val="33"/>
    <w:semiHidden/>
    <w:unhideWhenUsed/>
    <w:qFormat/>
    <w:uiPriority w:val="0"/>
    <w:rPr>
      <w:rFonts w:ascii="monospace" w:hAnsi="monospace" w:eastAsia="monospace" w:cs="monospace"/>
    </w:rPr>
  </w:style>
  <w:style w:type="paragraph" w:customStyle="1" w:styleId="49">
    <w:name w:val="模板普通正文"/>
    <w:basedOn w:val="11"/>
    <w:qFormat/>
    <w:uiPriority w:val="0"/>
    <w:pPr>
      <w:spacing w:beforeLines="50" w:after="10"/>
      <w:ind w:firstLine="490" w:firstLineChars="175"/>
      <w:jc w:val="left"/>
    </w:pPr>
  </w:style>
  <w:style w:type="character" w:customStyle="1" w:styleId="50">
    <w:name w:val="文档结构图 字符"/>
    <w:link w:val="8"/>
    <w:qFormat/>
    <w:uiPriority w:val="0"/>
    <w:rPr>
      <w:rFonts w:ascii="宋体" w:eastAsia="宋体"/>
      <w:kern w:val="2"/>
      <w:sz w:val="18"/>
      <w:szCs w:val="18"/>
      <w:lang w:val="en-US" w:eastAsia="zh-CN" w:bidi="ar-SA"/>
    </w:rPr>
  </w:style>
  <w:style w:type="character" w:customStyle="1" w:styleId="51">
    <w:name w:val="批注文字 字符"/>
    <w:link w:val="9"/>
    <w:qFormat/>
    <w:uiPriority w:val="99"/>
    <w:rPr>
      <w:rFonts w:ascii="仿宋_GB2312" w:eastAsia="仿宋_GB2312"/>
      <w:kern w:val="2"/>
      <w:sz w:val="32"/>
      <w:szCs w:val="32"/>
    </w:rPr>
  </w:style>
  <w:style w:type="character" w:customStyle="1" w:styleId="52">
    <w:name w:val="样式（正文） Char"/>
    <w:link w:val="53"/>
    <w:qFormat/>
    <w:locked/>
    <w:uiPriority w:val="0"/>
    <w:rPr>
      <w:rFonts w:ascii="宋体" w:hAnsi="宋体" w:eastAsia="宋体"/>
      <w:kern w:val="2"/>
      <w:sz w:val="24"/>
      <w:szCs w:val="22"/>
      <w:lang w:bidi="ar-SA"/>
    </w:rPr>
  </w:style>
  <w:style w:type="paragraph" w:customStyle="1" w:styleId="53">
    <w:name w:val="样式（正文）"/>
    <w:basedOn w:val="1"/>
    <w:link w:val="52"/>
    <w:qFormat/>
    <w:uiPriority w:val="0"/>
    <w:pPr>
      <w:spacing w:line="360" w:lineRule="auto"/>
      <w:ind w:firstLine="200" w:firstLineChars="200"/>
    </w:pPr>
    <w:rPr>
      <w:rFonts w:ascii="宋体" w:hAnsi="宋体"/>
      <w:sz w:val="24"/>
      <w:szCs w:val="22"/>
    </w:rPr>
  </w:style>
  <w:style w:type="character" w:customStyle="1" w:styleId="54">
    <w:name w:val="目录 3 字符"/>
    <w:link w:val="15"/>
    <w:qFormat/>
    <w:uiPriority w:val="39"/>
    <w:rPr>
      <w:sz w:val="24"/>
    </w:rPr>
  </w:style>
  <w:style w:type="character" w:customStyle="1" w:styleId="55">
    <w:name w:val="纯文本 字符"/>
    <w:link w:val="16"/>
    <w:qFormat/>
    <w:uiPriority w:val="0"/>
    <w:rPr>
      <w:rFonts w:ascii="宋体" w:hAnsi="Courier New"/>
      <w:kern w:val="2"/>
      <w:sz w:val="21"/>
    </w:rPr>
  </w:style>
  <w:style w:type="character" w:customStyle="1" w:styleId="56">
    <w:name w:val="页脚 字符"/>
    <w:basedOn w:val="33"/>
    <w:link w:val="20"/>
    <w:qFormat/>
    <w:uiPriority w:val="99"/>
    <w:rPr>
      <w:kern w:val="2"/>
      <w:sz w:val="18"/>
      <w:szCs w:val="18"/>
    </w:rPr>
  </w:style>
  <w:style w:type="character" w:customStyle="1" w:styleId="57">
    <w:name w:val="正文文本缩进 字符"/>
    <w:link w:val="11"/>
    <w:qFormat/>
    <w:uiPriority w:val="0"/>
  </w:style>
  <w:style w:type="character" w:customStyle="1" w:styleId="58">
    <w:name w:val="正文缩进 字符"/>
    <w:link w:val="6"/>
    <w:qFormat/>
    <w:uiPriority w:val="0"/>
    <w:rPr>
      <w:rFonts w:ascii="宋体" w:eastAsia="宋体"/>
      <w:sz w:val="24"/>
      <w:lang w:val="en-US" w:eastAsia="zh-CN" w:bidi="ar-SA"/>
    </w:rPr>
  </w:style>
  <w:style w:type="character" w:customStyle="1" w:styleId="59">
    <w:name w:val="日期 字符"/>
    <w:basedOn w:val="33"/>
    <w:link w:val="17"/>
    <w:qFormat/>
    <w:uiPriority w:val="0"/>
    <w:rPr>
      <w:kern w:val="2"/>
      <w:sz w:val="21"/>
      <w:szCs w:val="24"/>
    </w:rPr>
  </w:style>
  <w:style w:type="paragraph" w:customStyle="1" w:styleId="60">
    <w:name w:val="Char Char1"/>
    <w:basedOn w:val="1"/>
    <w:qFormat/>
    <w:uiPriority w:val="0"/>
  </w:style>
  <w:style w:type="paragraph" w:customStyle="1" w:styleId="61">
    <w:name w:val="p0"/>
    <w:basedOn w:val="1"/>
    <w:qFormat/>
    <w:uiPriority w:val="0"/>
    <w:pPr>
      <w:widowControl/>
      <w:snapToGrid w:val="0"/>
      <w:spacing w:after="200"/>
      <w:jc w:val="left"/>
    </w:pPr>
    <w:rPr>
      <w:rFonts w:ascii="Tahoma" w:hAnsi="Tahoma" w:cs="Tahoma"/>
      <w:kern w:val="0"/>
      <w:sz w:val="22"/>
      <w:szCs w:val="22"/>
    </w:rPr>
  </w:style>
  <w:style w:type="paragraph" w:customStyle="1" w:styleId="6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Char1"/>
    <w:basedOn w:val="1"/>
    <w:qFormat/>
    <w:uiPriority w:val="0"/>
    <w:rPr>
      <w:rFonts w:ascii="Tahoma" w:hAnsi="Tahoma"/>
      <w:sz w:val="24"/>
      <w:szCs w:val="20"/>
    </w:rPr>
  </w:style>
  <w:style w:type="paragraph" w:customStyle="1" w:styleId="64">
    <w:name w:val="Char"/>
    <w:basedOn w:val="1"/>
    <w:qFormat/>
    <w:uiPriority w:val="0"/>
    <w:pPr>
      <w:tabs>
        <w:tab w:val="left" w:pos="432"/>
      </w:tabs>
      <w:spacing w:beforeLines="50" w:afterLines="50"/>
      <w:ind w:left="864" w:hanging="432"/>
    </w:pPr>
    <w:rPr>
      <w:sz w:val="24"/>
    </w:rPr>
  </w:style>
  <w:style w:type="paragraph" w:customStyle="1" w:styleId="65">
    <w:name w:val="样式 标题 2 + 段后: 156 磅"/>
    <w:basedOn w:val="4"/>
    <w:qFormat/>
    <w:uiPriority w:val="0"/>
    <w:pPr>
      <w:spacing w:before="100" w:after="100" w:line="240" w:lineRule="auto"/>
    </w:pPr>
    <w:rPr>
      <w:rFonts w:cs="宋体"/>
      <w:bCs/>
      <w:sz w:val="30"/>
    </w:rPr>
  </w:style>
  <w:style w:type="paragraph" w:customStyle="1" w:styleId="66">
    <w:name w:val="Char Char11"/>
    <w:basedOn w:val="1"/>
    <w:qFormat/>
    <w:uiPriority w:val="0"/>
    <w:rPr>
      <w:szCs w:val="20"/>
    </w:rPr>
  </w:style>
  <w:style w:type="paragraph" w:customStyle="1" w:styleId="67">
    <w:name w:val="样式1"/>
    <w:basedOn w:val="5"/>
    <w:qFormat/>
    <w:uiPriority w:val="0"/>
    <w:pPr>
      <w:jc w:val="center"/>
    </w:pPr>
  </w:style>
  <w:style w:type="paragraph" w:customStyle="1" w:styleId="68">
    <w:name w:val="列出段落1"/>
    <w:basedOn w:val="1"/>
    <w:qFormat/>
    <w:uiPriority w:val="34"/>
    <w:pPr>
      <w:ind w:firstLine="420" w:firstLineChars="200"/>
    </w:pPr>
    <w:rPr>
      <w:rFonts w:ascii="Calibri" w:hAnsi="Calibri"/>
      <w:szCs w:val="22"/>
    </w:rPr>
  </w:style>
  <w:style w:type="paragraph" w:customStyle="1" w:styleId="69">
    <w:name w:val="Char11"/>
    <w:basedOn w:val="1"/>
    <w:qFormat/>
    <w:uiPriority w:val="0"/>
    <w:rPr>
      <w:rFonts w:ascii="Tahoma" w:hAnsi="Tahoma"/>
      <w:sz w:val="24"/>
      <w:szCs w:val="20"/>
    </w:rPr>
  </w:style>
  <w:style w:type="paragraph" w:customStyle="1" w:styleId="70">
    <w:name w:val="Char2"/>
    <w:basedOn w:val="1"/>
    <w:next w:val="1"/>
    <w:qFormat/>
    <w:uiPriority w:val="0"/>
    <w:pPr>
      <w:widowControl/>
      <w:spacing w:line="360" w:lineRule="auto"/>
      <w:jc w:val="left"/>
    </w:pPr>
    <w:rPr>
      <w:kern w:val="0"/>
      <w:szCs w:val="20"/>
      <w:lang w:eastAsia="en-US"/>
    </w:rPr>
  </w:style>
  <w:style w:type="paragraph" w:customStyle="1" w:styleId="71">
    <w:name w:val="表文"/>
    <w:basedOn w:val="1"/>
    <w:qFormat/>
    <w:uiPriority w:val="0"/>
    <w:rPr>
      <w:rFonts w:ascii="宋体" w:hAnsi="宋体" w:cs="宋体"/>
      <w:color w:val="000000"/>
      <w:kern w:val="0"/>
      <w:szCs w:val="21"/>
    </w:rPr>
  </w:style>
  <w:style w:type="paragraph" w:customStyle="1" w:styleId="7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73">
    <w:name w:val="批注文字 Char1"/>
    <w:basedOn w:val="33"/>
    <w:semiHidden/>
    <w:qFormat/>
    <w:uiPriority w:val="99"/>
    <w:rPr>
      <w:rFonts w:ascii="Times New Roman" w:hAnsi="Times New Roman" w:eastAsia="宋体" w:cs="Times New Roman"/>
      <w:szCs w:val="24"/>
    </w:rPr>
  </w:style>
  <w:style w:type="paragraph" w:styleId="74">
    <w:name w:val="List Paragraph"/>
    <w:basedOn w:val="1"/>
    <w:qFormat/>
    <w:uiPriority w:val="99"/>
    <w:pPr>
      <w:ind w:firstLine="420" w:firstLineChars="200"/>
    </w:pPr>
  </w:style>
  <w:style w:type="paragraph" w:customStyle="1" w:styleId="75">
    <w:name w:val="D&amp;L"/>
    <w:basedOn w:val="21"/>
    <w:qFormat/>
    <w:uiPriority w:val="0"/>
    <w:pPr>
      <w:pBdr>
        <w:bottom w:val="thinThickSmallGap" w:color="auto" w:sz="18" w:space="1"/>
      </w:pBdr>
      <w:adjustRightInd w:val="0"/>
      <w:snapToGrid/>
      <w:spacing w:line="240" w:lineRule="atLeast"/>
      <w:textAlignment w:val="baseline"/>
    </w:pPr>
    <w:rPr>
      <w:kern w:val="0"/>
      <w:sz w:val="24"/>
      <w:szCs w:val="20"/>
      <w:lang w:val="en-US" w:eastAsia="zh-CN"/>
    </w:rPr>
  </w:style>
  <w:style w:type="paragraph" w:customStyle="1" w:styleId="76">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77">
    <w:name w:val="WPSOffice手动目录 1"/>
    <w:qFormat/>
    <w:uiPriority w:val="0"/>
    <w:pPr>
      <w:ind w:leftChars="0"/>
    </w:pPr>
    <w:rPr>
      <w:rFonts w:ascii="Times New Roman" w:hAnsi="Times New Roman" w:eastAsia="宋体" w:cs="Times New Roman"/>
      <w:sz w:val="20"/>
      <w:szCs w:val="20"/>
    </w:rPr>
  </w:style>
  <w:style w:type="character" w:customStyle="1" w:styleId="78">
    <w:name w:val="标题 2 Char"/>
    <w:link w:val="4"/>
    <w:qFormat/>
    <w:uiPriority w:val="9"/>
    <w:rPr>
      <w:rFonts w:ascii="Arial" w:hAnsi="Arial"/>
      <w:b/>
      <w:kern w:val="0"/>
      <w:sz w:val="32"/>
      <w:szCs w:val="20"/>
    </w:rPr>
  </w:style>
  <w:style w:type="paragraph" w:customStyle="1" w:styleId="79">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0">
    <w:name w:val=" Char"/>
    <w:basedOn w:val="1"/>
    <w:next w:val="1"/>
    <w:qFormat/>
    <w:uiPriority w:val="0"/>
    <w:pPr>
      <w:widowControl/>
      <w:spacing w:line="360" w:lineRule="auto"/>
      <w:jc w:val="left"/>
    </w:pPr>
    <w:rPr>
      <w:kern w:val="0"/>
      <w:szCs w:val="20"/>
      <w:lang w:eastAsia="en-US"/>
    </w:rPr>
  </w:style>
  <w:style w:type="character" w:customStyle="1" w:styleId="81">
    <w:name w:val="hover"/>
    <w:basedOn w:val="33"/>
    <w:qFormat/>
    <w:uiPriority w:val="0"/>
    <w:rPr>
      <w:color w:val="2590EB"/>
      <w:shd w:val="clear" w:fill="E9F4FD"/>
    </w:rPr>
  </w:style>
  <w:style w:type="character" w:customStyle="1" w:styleId="82">
    <w:name w:val="hover1"/>
    <w:basedOn w:val="33"/>
    <w:qFormat/>
    <w:uiPriority w:val="0"/>
    <w:rPr>
      <w:color w:val="2590EB"/>
    </w:rPr>
  </w:style>
  <w:style w:type="character" w:customStyle="1" w:styleId="83">
    <w:name w:val="hover2"/>
    <w:basedOn w:val="33"/>
    <w:qFormat/>
    <w:uiPriority w:val="0"/>
    <w:rPr>
      <w:color w:val="2590EB"/>
    </w:rPr>
  </w:style>
  <w:style w:type="character" w:customStyle="1" w:styleId="84">
    <w:name w:val="hover3"/>
    <w:basedOn w:val="33"/>
    <w:qFormat/>
    <w:uiPriority w:val="0"/>
  </w:style>
  <w:style w:type="character" w:customStyle="1" w:styleId="85">
    <w:name w:val="mini-outputtext1"/>
    <w:basedOn w:val="33"/>
    <w:qFormat/>
    <w:uiPriority w:val="0"/>
  </w:style>
  <w:style w:type="character" w:customStyle="1" w:styleId="86">
    <w:name w:val="标题 3 字符"/>
    <w:basedOn w:val="33"/>
    <w:link w:val="5"/>
    <w:qFormat/>
    <w:uiPriority w:val="0"/>
    <w:rPr>
      <w:rFonts w:hint="eastAsia" w:ascii="宋体" w:hAnsi="Times New Roman" w:eastAsia="宋体" w:cs="Times New Roman"/>
      <w:b/>
      <w:sz w:val="24"/>
    </w:rPr>
  </w:style>
  <w:style w:type="character" w:customStyle="1" w:styleId="87">
    <w:name w:val="hover4"/>
    <w:basedOn w:val="33"/>
    <w:qFormat/>
    <w:uiPriority w:val="0"/>
  </w:style>
  <w:style w:type="character" w:customStyle="1" w:styleId="88">
    <w:name w:val="TOC 3 字符"/>
    <w:link w:val="15"/>
    <w:qFormat/>
    <w:uiPriority w:val="39"/>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298EB9-454C-47E1-BDD9-4DC687C9B54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113</Pages>
  <Words>46917</Words>
  <Characters>49706</Characters>
  <Lines>202</Lines>
  <Paragraphs>56</Paragraphs>
  <TotalTime>1</TotalTime>
  <ScaleCrop>false</ScaleCrop>
  <LinksUpToDate>false</LinksUpToDate>
  <CharactersWithSpaces>55439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2018-07-31T01:17:00Z</dcterms:created>
  <dc:creator>LF</dc:creator>
  <cp:lastModifiedBy>NTKO</cp:lastModifiedBy>
  <cp:lastPrinted>2022-09-13T00:26:00Z</cp:lastPrinted>
  <dcterms:modified xsi:type="dcterms:W3CDTF">2022-11-18T08:32:26Z</dcterms:modified>
  <dc:title>招标文件</dc:title>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C0BB2B33C2D3426E9457280578B8D77C</vt:lpwstr>
  </property>
</Properties>
</file>