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widowControl w:val="0"/>
        <w:tabs>
          <w:tab w:val="left" w:pos="1440"/>
          <w:tab w:val="left" w:pos="5670"/>
        </w:tabs>
        <w:spacing w:before="62" w:beforeLines="20" w:after="62" w:afterLines="20" w:line="480" w:lineRule="exact"/>
        <w:ind w:firstLine="0" w:firstLineChars="0"/>
        <w:jc w:val="center"/>
        <w:outlineLvl w:val="0"/>
        <w:rPr>
          <w:rFonts w:ascii="Arial" w:hAnsi="Arial" w:eastAsia="黑体" w:cs="Times New Roman"/>
          <w:b/>
          <w:kern w:val="2"/>
          <w:sz w:val="32"/>
          <w:szCs w:val="32"/>
          <w:highlight w:val="none"/>
          <w:lang w:val="zh-CN" w:eastAsia="zh-CN" w:bidi="ar-SA"/>
        </w:rPr>
      </w:pPr>
      <w:r>
        <w:rPr>
          <w:rFonts w:hint="eastAsia" w:ascii="Arial" w:hAnsi="Arial" w:eastAsia="黑体" w:cs="Times New Roman"/>
          <w:b/>
          <w:kern w:val="2"/>
          <w:sz w:val="32"/>
          <w:szCs w:val="32"/>
          <w:highlight w:val="none"/>
          <w:lang w:val="zh-CN" w:eastAsia="zh-CN" w:bidi="ar-SA"/>
        </w:rPr>
        <w:t>服务需求及技术要求</w:t>
      </w:r>
    </w:p>
    <w:p>
      <w:pPr>
        <w:rPr>
          <w:rFonts w:ascii="Times New Roman" w:hAnsi="Times New Roman" w:eastAsia="宋体" w:cs="Times New Roman"/>
          <w:b/>
          <w:bCs/>
          <w:sz w:val="28"/>
          <w:szCs w:val="24"/>
          <w:highlight w:val="none"/>
        </w:rPr>
      </w:pPr>
      <w:bookmarkStart w:id="0" w:name="_Toc53217151"/>
      <w:r>
        <w:rPr>
          <w:rFonts w:hint="eastAsia" w:ascii="Times New Roman" w:hAnsi="Times New Roman" w:eastAsia="宋体" w:cs="Times New Roman"/>
          <w:b/>
          <w:bCs/>
          <w:sz w:val="28"/>
          <w:szCs w:val="24"/>
          <w:highlight w:val="none"/>
        </w:rPr>
        <w:t>一、项目概况</w:t>
      </w:r>
      <w:bookmarkEnd w:id="0"/>
    </w:p>
    <w:p>
      <w:pPr>
        <w:spacing w:line="360" w:lineRule="auto"/>
        <w:ind w:firstLine="480" w:firstLineChars="200"/>
        <w:rPr>
          <w:rFonts w:ascii="宋体" w:hAnsi="宋体" w:eastAsia="宋体" w:cs="Arial"/>
          <w:kern w:val="0"/>
          <w:sz w:val="24"/>
          <w:szCs w:val="20"/>
          <w:highlight w:val="none"/>
        </w:rPr>
      </w:pPr>
      <w:r>
        <w:rPr>
          <w:rFonts w:hint="eastAsia" w:ascii="宋体" w:hAnsi="宋体" w:eastAsia="宋体" w:cs="Arial"/>
          <w:kern w:val="0"/>
          <w:sz w:val="24"/>
          <w:szCs w:val="20"/>
          <w:highlight w:val="none"/>
        </w:rPr>
        <w:t>依据《中华人民共和国网络安全法》《信息安全等级保护管理办法》的相关要求，对安庆职业技术学院重</w:t>
      </w:r>
      <w:bookmarkStart w:id="35" w:name="_GoBack"/>
      <w:bookmarkEnd w:id="35"/>
      <w:r>
        <w:rPr>
          <w:rFonts w:hint="eastAsia" w:ascii="宋体" w:hAnsi="宋体" w:eastAsia="宋体" w:cs="Arial"/>
          <w:kern w:val="0"/>
          <w:sz w:val="24"/>
          <w:szCs w:val="20"/>
          <w:highlight w:val="none"/>
        </w:rPr>
        <w:t>要信息系统进行网络安全等级保护测评，包括：安全技术测评，安全管理测评，工具测试，编制系统安全整改方案，编制和完善安全管理制度等。</w:t>
      </w:r>
    </w:p>
    <w:p>
      <w:pPr>
        <w:rPr>
          <w:rFonts w:ascii="Times New Roman" w:hAnsi="Times New Roman" w:eastAsia="宋体" w:cs="Times New Roman"/>
          <w:b/>
          <w:bCs/>
          <w:sz w:val="28"/>
          <w:szCs w:val="24"/>
          <w:highlight w:val="none"/>
        </w:rPr>
      </w:pPr>
      <w:bookmarkStart w:id="1" w:name="_Toc53217152"/>
      <w:r>
        <w:rPr>
          <w:rFonts w:hint="eastAsia" w:ascii="Times New Roman" w:hAnsi="Times New Roman" w:eastAsia="宋体" w:cs="Times New Roman"/>
          <w:b/>
          <w:bCs/>
          <w:sz w:val="28"/>
          <w:szCs w:val="24"/>
          <w:highlight w:val="none"/>
        </w:rPr>
        <w:t>二、项目实施范围</w:t>
      </w:r>
      <w:bookmarkEnd w:id="1"/>
    </w:p>
    <w:p>
      <w:pPr>
        <w:spacing w:after="156" w:afterLines="50" w:line="360" w:lineRule="auto"/>
        <w:rPr>
          <w:rFonts w:ascii="宋体" w:hAnsi="宋体" w:eastAsia="宋体" w:cs="Arial"/>
          <w:kern w:val="0"/>
          <w:sz w:val="24"/>
          <w:szCs w:val="20"/>
          <w:highlight w:val="none"/>
        </w:rPr>
      </w:pPr>
      <w:r>
        <w:rPr>
          <w:rFonts w:hint="eastAsia" w:ascii="宋体" w:hAnsi="宋体" w:eastAsia="宋体" w:cs="Arial"/>
          <w:kern w:val="0"/>
          <w:sz w:val="24"/>
          <w:szCs w:val="20"/>
          <w:highlight w:val="none"/>
        </w:rPr>
        <w:t>本次参于网络安全等级保护测评的系统如下：</w:t>
      </w:r>
    </w:p>
    <w:tbl>
      <w:tblPr>
        <w:tblStyle w:val="2"/>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452"/>
        <w:gridCol w:w="244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shd w:val="clear" w:color="000000" w:fill="F2F2F2"/>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3452" w:type="dxa"/>
            <w:shd w:val="clear" w:color="000000" w:fill="F2F2F2"/>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待测系统名称</w:t>
            </w:r>
          </w:p>
        </w:tc>
        <w:tc>
          <w:tcPr>
            <w:tcW w:w="2448" w:type="dxa"/>
            <w:shd w:val="clear" w:color="000000" w:fill="F2F2F2"/>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安全保护等级</w:t>
            </w:r>
          </w:p>
        </w:tc>
        <w:tc>
          <w:tcPr>
            <w:tcW w:w="1080" w:type="dxa"/>
            <w:shd w:val="clear" w:color="000000" w:fill="F2F2F2"/>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452"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网站群信息系统</w:t>
            </w:r>
          </w:p>
        </w:tc>
        <w:tc>
          <w:tcPr>
            <w:tcW w:w="2448"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452"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邮件系统</w:t>
            </w:r>
          </w:p>
        </w:tc>
        <w:tc>
          <w:tcPr>
            <w:tcW w:w="2448"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452"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数字校园系统</w:t>
            </w:r>
          </w:p>
        </w:tc>
        <w:tc>
          <w:tcPr>
            <w:tcW w:w="2448"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452"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图书管理系统</w:t>
            </w:r>
          </w:p>
        </w:tc>
        <w:tc>
          <w:tcPr>
            <w:tcW w:w="2448"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eastAsia="宋体" w:cs="宋体"/>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452"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财务系统</w:t>
            </w:r>
          </w:p>
        </w:tc>
        <w:tc>
          <w:tcPr>
            <w:tcW w:w="2448" w:type="dxa"/>
            <w:shd w:val="clear" w:color="auto" w:fill="auto"/>
          </w:tcPr>
          <w:p>
            <w:pPr>
              <w:widowControl/>
              <w:spacing w:line="360" w:lineRule="auto"/>
              <w:contextualSpacing/>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二级</w:t>
            </w:r>
          </w:p>
        </w:tc>
        <w:tc>
          <w:tcPr>
            <w:tcW w:w="1080" w:type="dxa"/>
            <w:shd w:val="clear" w:color="auto" w:fill="auto"/>
          </w:tcPr>
          <w:p>
            <w:pPr>
              <w:widowControl/>
              <w:spacing w:line="360" w:lineRule="auto"/>
              <w:contextualSpacing/>
              <w:rPr>
                <w:rFonts w:ascii="宋体" w:hAnsi="宋体" w:eastAsia="宋体" w:cs="宋体"/>
                <w:color w:val="000000"/>
                <w:kern w:val="0"/>
                <w:sz w:val="24"/>
                <w:szCs w:val="24"/>
                <w:highlight w:val="none"/>
              </w:rPr>
            </w:pPr>
          </w:p>
        </w:tc>
      </w:tr>
    </w:tbl>
    <w:p>
      <w:pPr>
        <w:rPr>
          <w:rFonts w:ascii="Times New Roman" w:hAnsi="Times New Roman" w:eastAsia="宋体" w:cs="Times New Roman"/>
          <w:b/>
          <w:bCs/>
          <w:sz w:val="28"/>
          <w:szCs w:val="24"/>
          <w:highlight w:val="none"/>
        </w:rPr>
      </w:pPr>
      <w:bookmarkStart w:id="2" w:name="_Toc53217153"/>
      <w:r>
        <w:rPr>
          <w:rFonts w:hint="eastAsia" w:ascii="Times New Roman" w:hAnsi="Times New Roman" w:eastAsia="宋体" w:cs="Times New Roman"/>
          <w:b/>
          <w:bCs/>
          <w:sz w:val="28"/>
          <w:szCs w:val="24"/>
          <w:highlight w:val="none"/>
        </w:rPr>
        <w:t>三、指导思想和基本准则</w:t>
      </w:r>
      <w:bookmarkEnd w:id="2"/>
    </w:p>
    <w:p>
      <w:pPr>
        <w:autoSpaceDE w:val="0"/>
        <w:autoSpaceDN w:val="0"/>
        <w:adjustRightInd w:val="0"/>
        <w:spacing w:line="360" w:lineRule="auto"/>
        <w:ind w:firstLine="480" w:firstLineChars="200"/>
        <w:rPr>
          <w:rFonts w:ascii="宋体" w:hAnsi="宋体" w:eastAsia="宋体" w:cs="Arial"/>
          <w:sz w:val="24"/>
          <w:szCs w:val="24"/>
          <w:highlight w:val="none"/>
        </w:rPr>
      </w:pPr>
      <w:r>
        <w:rPr>
          <w:rFonts w:hint="eastAsia" w:ascii="宋体" w:hAnsi="宋体" w:eastAsia="宋体" w:cs="Arial"/>
          <w:sz w:val="24"/>
          <w:szCs w:val="24"/>
          <w:highlight w:val="none"/>
        </w:rPr>
        <w:t>根据公安部、国家保密局、国家密码管理局、国信办联合印发的《信息系统安全等级保护管理办法》（公通字〔2007〕43号）、《关于信息系统安全等级保护工作的实施意见》（公通字〔2004〕66号）、《关于开展全国重要信息系统安全等级保护定级工作的通知》（公信安〔2007〕861 号）、公安部《关于开展信息安全等级保护安全建设整改工作的指导意见》（公信安[2009]1429号）、国家发改委《关于加强国家电子政务工程建设项目信息安全风险评估工作的通知》（发改高技[2008]2071号），以及安徽省发改委《关于加强国家电子政务工程建设项目信息安全风险评估工作的通知》（发改高技[2008]967号）等文件精神，结合</w:t>
      </w:r>
      <w:r>
        <w:rPr>
          <w:rFonts w:ascii="宋体" w:hAnsi="宋体" w:eastAsia="宋体" w:cs="Arial"/>
          <w:sz w:val="24"/>
          <w:szCs w:val="24"/>
          <w:highlight w:val="none"/>
        </w:rPr>
        <w:t>安庆职业技术学院</w:t>
      </w:r>
      <w:r>
        <w:rPr>
          <w:rFonts w:hint="eastAsia" w:ascii="宋体" w:hAnsi="宋体" w:eastAsia="宋体" w:cs="Arial"/>
          <w:sz w:val="24"/>
          <w:szCs w:val="24"/>
          <w:highlight w:val="none"/>
        </w:rPr>
        <w:t>工作实际，现拟对</w:t>
      </w:r>
      <w:r>
        <w:rPr>
          <w:rFonts w:ascii="宋体" w:hAnsi="宋体" w:eastAsia="宋体" w:cs="Arial"/>
          <w:sz w:val="24"/>
          <w:szCs w:val="24"/>
          <w:highlight w:val="none"/>
        </w:rPr>
        <w:t>安庆职业技术学院</w:t>
      </w:r>
      <w:r>
        <w:rPr>
          <w:rFonts w:hint="eastAsia" w:ascii="宋体" w:hAnsi="宋体" w:eastAsia="宋体" w:cs="Arial"/>
          <w:sz w:val="24"/>
          <w:szCs w:val="24"/>
          <w:highlight w:val="none"/>
        </w:rPr>
        <w:t>重要信息系统实施网络安全等级保护测评，以进一步完善信息系统安全管理体系和技术防护体系，切实提高系统信息安全防护能力。</w:t>
      </w:r>
      <w:r>
        <w:rPr>
          <w:rFonts w:ascii="宋体" w:hAnsi="宋体" w:eastAsia="宋体" w:cs="Arial"/>
          <w:sz w:val="24"/>
          <w:szCs w:val="24"/>
          <w:highlight w:val="none"/>
        </w:rPr>
        <w:t xml:space="preserve"> </w:t>
      </w:r>
    </w:p>
    <w:p>
      <w:pPr>
        <w:rPr>
          <w:rFonts w:ascii="Times New Roman" w:hAnsi="Times New Roman" w:eastAsia="宋体" w:cs="Times New Roman"/>
          <w:b/>
          <w:bCs/>
          <w:sz w:val="28"/>
          <w:szCs w:val="24"/>
          <w:highlight w:val="none"/>
        </w:rPr>
      </w:pPr>
      <w:bookmarkStart w:id="3" w:name="_Toc53217154"/>
      <w:r>
        <w:rPr>
          <w:rFonts w:hint="eastAsia" w:ascii="Times New Roman" w:hAnsi="Times New Roman" w:eastAsia="宋体" w:cs="Times New Roman"/>
          <w:b/>
          <w:bCs/>
          <w:sz w:val="28"/>
          <w:szCs w:val="24"/>
          <w:highlight w:val="none"/>
        </w:rPr>
        <w:t>四、等级保护测评主要包括以下几个方面：</w:t>
      </w:r>
      <w:bookmarkEnd w:id="3"/>
    </w:p>
    <w:p>
      <w:pPr>
        <w:numPr>
          <w:ilvl w:val="0"/>
          <w:numId w:val="1"/>
        </w:numPr>
        <w:spacing w:before="240" w:after="120" w:line="360" w:lineRule="auto"/>
        <w:ind w:left="0" w:firstLine="482" w:firstLineChars="200"/>
        <w:rPr>
          <w:rFonts w:ascii="宋体" w:hAnsi="宋体" w:eastAsia="宋体" w:cs="Times New Roman"/>
          <w:b/>
          <w:sz w:val="24"/>
          <w:szCs w:val="24"/>
          <w:highlight w:val="none"/>
        </w:rPr>
      </w:pPr>
      <w:bookmarkStart w:id="4" w:name="_Toc46177951"/>
      <w:bookmarkStart w:id="5" w:name="_Hlk35596349"/>
      <w:r>
        <w:rPr>
          <w:rFonts w:hint="eastAsia" w:ascii="宋体" w:hAnsi="宋体" w:eastAsia="宋体" w:cs="Times New Roman"/>
          <w:b/>
          <w:sz w:val="24"/>
          <w:szCs w:val="24"/>
          <w:highlight w:val="none"/>
        </w:rPr>
        <w:t>等保测评：</w:t>
      </w:r>
      <w:r>
        <w:rPr>
          <w:rFonts w:hint="eastAsia" w:ascii="宋体" w:hAnsi="宋体" w:eastAsia="宋体" w:cs="Times New Roman"/>
          <w:bCs/>
          <w:sz w:val="24"/>
          <w:szCs w:val="24"/>
          <w:highlight w:val="none"/>
        </w:rPr>
        <w:t>完成包括安全物理环境、安全计算环境、安全区域边界、安全通信网络、安全管理中心和安全管理机构、安全管理制度、安全管理人员、安全建设管理和安全运维管理方面的测评工作；</w:t>
      </w:r>
      <w:bookmarkEnd w:id="4"/>
    </w:p>
    <w:p>
      <w:pPr>
        <w:numPr>
          <w:ilvl w:val="0"/>
          <w:numId w:val="1"/>
        </w:numPr>
        <w:spacing w:before="240" w:after="120" w:line="360" w:lineRule="auto"/>
        <w:ind w:left="0" w:firstLine="482" w:firstLineChars="200"/>
        <w:rPr>
          <w:rFonts w:ascii="宋体" w:hAnsi="宋体" w:eastAsia="宋体" w:cs="Times New Roman"/>
          <w:b/>
          <w:sz w:val="24"/>
          <w:szCs w:val="24"/>
          <w:highlight w:val="none"/>
        </w:rPr>
      </w:pPr>
      <w:bookmarkStart w:id="6" w:name="_Toc46177952"/>
      <w:r>
        <w:rPr>
          <w:rFonts w:hint="eastAsia" w:ascii="宋体" w:hAnsi="宋体" w:eastAsia="宋体" w:cs="Times New Roman"/>
          <w:b/>
          <w:sz w:val="24"/>
          <w:szCs w:val="24"/>
          <w:highlight w:val="none"/>
        </w:rPr>
        <w:t>工具测试：</w:t>
      </w:r>
      <w:r>
        <w:rPr>
          <w:rFonts w:hint="eastAsia" w:ascii="宋体" w:hAnsi="宋体" w:eastAsia="宋体" w:cs="Times New Roman"/>
          <w:bCs/>
          <w:sz w:val="24"/>
          <w:szCs w:val="24"/>
          <w:highlight w:val="none"/>
        </w:rPr>
        <w:t>针对重要信息系统进行定期的漏洞扫描、渗透测试等安全服务工作；</w:t>
      </w:r>
      <w:bookmarkEnd w:id="6"/>
    </w:p>
    <w:p>
      <w:pPr>
        <w:numPr>
          <w:ilvl w:val="0"/>
          <w:numId w:val="1"/>
        </w:numPr>
        <w:spacing w:before="240" w:after="120" w:line="360" w:lineRule="auto"/>
        <w:ind w:left="0" w:firstLine="482" w:firstLineChars="200"/>
        <w:rPr>
          <w:rFonts w:ascii="宋体" w:hAnsi="宋体" w:eastAsia="宋体" w:cs="Times New Roman"/>
          <w:b/>
          <w:sz w:val="24"/>
          <w:szCs w:val="24"/>
          <w:highlight w:val="none"/>
        </w:rPr>
      </w:pPr>
      <w:bookmarkStart w:id="7" w:name="_Toc46177953"/>
      <w:r>
        <w:rPr>
          <w:rFonts w:hint="eastAsia" w:ascii="宋体" w:hAnsi="宋体" w:eastAsia="宋体" w:cs="Times New Roman"/>
          <w:b/>
          <w:sz w:val="24"/>
          <w:szCs w:val="24"/>
          <w:highlight w:val="none"/>
        </w:rPr>
        <w:t>整改建议：</w:t>
      </w:r>
      <w:r>
        <w:rPr>
          <w:rFonts w:hint="eastAsia" w:ascii="宋体" w:hAnsi="宋体" w:eastAsia="宋体" w:cs="Times New Roman"/>
          <w:bCs/>
          <w:sz w:val="24"/>
          <w:szCs w:val="24"/>
          <w:highlight w:val="none"/>
        </w:rPr>
        <w:t>投标人应根据现场测评中发现的问题，分析与GB/T 22239-2019、ISO/IEC 27001、ISO/IEC 20000、ISO 22301、ITIL和ITSS等行业最佳实践之间的差距，按照网络安全等级保护标准要求提出安全整改建议；</w:t>
      </w:r>
      <w:bookmarkEnd w:id="7"/>
    </w:p>
    <w:p>
      <w:pPr>
        <w:numPr>
          <w:ilvl w:val="0"/>
          <w:numId w:val="1"/>
        </w:numPr>
        <w:spacing w:before="240" w:after="120" w:line="360" w:lineRule="auto"/>
        <w:ind w:left="0" w:firstLine="482" w:firstLineChars="200"/>
        <w:rPr>
          <w:rFonts w:ascii="宋体" w:hAnsi="宋体" w:eastAsia="宋体" w:cs="Times New Roman"/>
          <w:b/>
          <w:sz w:val="24"/>
          <w:szCs w:val="24"/>
          <w:highlight w:val="none"/>
        </w:rPr>
      </w:pPr>
      <w:bookmarkStart w:id="8" w:name="_Toc46177954"/>
      <w:r>
        <w:rPr>
          <w:rFonts w:hint="eastAsia" w:ascii="宋体" w:hAnsi="宋体" w:eastAsia="宋体" w:cs="Times New Roman"/>
          <w:b/>
          <w:sz w:val="24"/>
          <w:szCs w:val="24"/>
          <w:highlight w:val="none"/>
        </w:rPr>
        <w:t>编制测评报告：</w:t>
      </w:r>
      <w:r>
        <w:rPr>
          <w:rFonts w:hint="eastAsia" w:ascii="宋体" w:hAnsi="宋体" w:eastAsia="宋体" w:cs="Times New Roman"/>
          <w:bCs/>
          <w:sz w:val="24"/>
          <w:szCs w:val="24"/>
          <w:highlight w:val="none"/>
        </w:rPr>
        <w:t>完成上述测评工作和整改加固实施后，投标人最后出具符合标准要求的各信息系统网络安全等级保护测评报告。</w:t>
      </w:r>
      <w:bookmarkEnd w:id="5"/>
      <w:bookmarkEnd w:id="8"/>
    </w:p>
    <w:p>
      <w:pPr>
        <w:rPr>
          <w:rFonts w:ascii="Times New Roman" w:hAnsi="Times New Roman" w:eastAsia="宋体" w:cs="Times New Roman"/>
          <w:b/>
          <w:bCs/>
          <w:sz w:val="28"/>
          <w:szCs w:val="24"/>
          <w:highlight w:val="none"/>
        </w:rPr>
      </w:pPr>
      <w:bookmarkStart w:id="9" w:name="_Toc53217155"/>
      <w:r>
        <w:rPr>
          <w:rFonts w:hint="eastAsia" w:ascii="Times New Roman" w:hAnsi="Times New Roman" w:eastAsia="宋体" w:cs="Times New Roman"/>
          <w:b/>
          <w:bCs/>
          <w:sz w:val="28"/>
          <w:szCs w:val="24"/>
          <w:highlight w:val="none"/>
        </w:rPr>
        <w:t>五、信息安全培训：</w:t>
      </w:r>
      <w:bookmarkEnd w:id="9"/>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信息安全培训：为提高信息化人才队伍的安全意识和专业技能，响应人需对采购人提供信息安全培训，培训内容分为公共培训和专业培训。</w:t>
      </w:r>
    </w:p>
    <w:p>
      <w:pPr>
        <w:spacing w:line="360" w:lineRule="auto"/>
        <w:ind w:firstLine="480" w:firstLineChars="200"/>
        <w:rPr>
          <w:rFonts w:ascii="宋体" w:hAnsi="宋体" w:eastAsia="宋体" w:cs="Arial"/>
          <w:sz w:val="24"/>
          <w:szCs w:val="24"/>
          <w:highlight w:val="none"/>
        </w:rPr>
      </w:pPr>
      <w:r>
        <w:rPr>
          <w:rFonts w:hint="eastAsia" w:ascii="宋体" w:hAnsi="宋体" w:eastAsia="宋体" w:cs="Arial"/>
          <w:sz w:val="24"/>
          <w:szCs w:val="24"/>
          <w:highlight w:val="none"/>
        </w:rPr>
        <w:t>信息安全技术培训由具备培训资格的讲师参考注册信息安全专业人员（CISP）、信息安全保障人员（CISAW）等安全技能培训认证课程内容授课，确保管理人员和技术人员掌握关于信息系统等级保护相关规范、信息安全策略、信息保密制度，信息安全管理制度和相关流程等。</w:t>
      </w:r>
    </w:p>
    <w:p>
      <w:pPr>
        <w:spacing w:line="360" w:lineRule="auto"/>
        <w:ind w:firstLine="480" w:firstLineChars="200"/>
        <w:rPr>
          <w:rFonts w:ascii="宋体" w:hAnsi="宋体" w:eastAsia="宋体" w:cs="Arial"/>
          <w:sz w:val="24"/>
          <w:szCs w:val="24"/>
          <w:highlight w:val="none"/>
        </w:rPr>
      </w:pPr>
      <w:r>
        <w:rPr>
          <w:rFonts w:hint="eastAsia" w:ascii="宋体" w:hAnsi="宋体" w:eastAsia="宋体" w:cs="Arial"/>
          <w:sz w:val="24"/>
          <w:szCs w:val="24"/>
          <w:highlight w:val="none"/>
        </w:rPr>
        <w:t>专业培训包括</w:t>
      </w:r>
      <w:r>
        <w:rPr>
          <w:rFonts w:ascii="宋体" w:hAnsi="宋体" w:eastAsia="宋体" w:cs="Arial"/>
          <w:sz w:val="24"/>
          <w:szCs w:val="24"/>
          <w:highlight w:val="none"/>
        </w:rPr>
        <w:t>2</w:t>
      </w:r>
      <w:r>
        <w:rPr>
          <w:rFonts w:hint="eastAsia" w:ascii="宋体" w:hAnsi="宋体" w:eastAsia="宋体" w:cs="Arial"/>
          <w:sz w:val="24"/>
          <w:szCs w:val="24"/>
          <w:highlight w:val="none"/>
        </w:rPr>
        <w:t>个CISP（注册信息安全专业人员）培训名额。</w:t>
      </w:r>
    </w:p>
    <w:p>
      <w:pPr>
        <w:rPr>
          <w:rFonts w:ascii="Times New Roman" w:hAnsi="Times New Roman" w:eastAsia="宋体" w:cs="Times New Roman"/>
          <w:b/>
          <w:bCs/>
          <w:sz w:val="28"/>
          <w:szCs w:val="24"/>
          <w:highlight w:val="none"/>
        </w:rPr>
      </w:pPr>
      <w:bookmarkStart w:id="10" w:name="_Toc53217156"/>
      <w:r>
        <w:rPr>
          <w:rFonts w:hint="eastAsia" w:ascii="Times New Roman" w:hAnsi="Times New Roman" w:eastAsia="宋体" w:cs="Times New Roman"/>
          <w:b/>
          <w:bCs/>
          <w:sz w:val="28"/>
          <w:szCs w:val="24"/>
          <w:highlight w:val="none"/>
        </w:rPr>
        <w:t>六、工作要求：</w:t>
      </w:r>
      <w:bookmarkEnd w:id="10"/>
    </w:p>
    <w:p>
      <w:pPr>
        <w:numPr>
          <w:ilvl w:val="0"/>
          <w:numId w:val="2"/>
        </w:numPr>
        <w:spacing w:line="360" w:lineRule="auto"/>
        <w:ind w:left="0" w:firstLine="0"/>
        <w:rPr>
          <w:rFonts w:ascii="宋体" w:hAnsi="宋体" w:eastAsia="宋体" w:cs="Arial"/>
          <w:b/>
          <w:sz w:val="24"/>
          <w:szCs w:val="24"/>
          <w:highlight w:val="none"/>
        </w:rPr>
      </w:pPr>
      <w:bookmarkStart w:id="11" w:name="_Toc46177957"/>
      <w:bookmarkStart w:id="12" w:name="_Toc52369337"/>
      <w:bookmarkStart w:id="13" w:name="_Toc53217157"/>
      <w:r>
        <w:rPr>
          <w:rFonts w:hint="eastAsia" w:ascii="宋体" w:hAnsi="宋体" w:eastAsia="宋体" w:cs="Arial"/>
          <w:b/>
          <w:sz w:val="24"/>
          <w:szCs w:val="24"/>
          <w:highlight w:val="none"/>
        </w:rPr>
        <w:t>实施原则</w:t>
      </w:r>
      <w:bookmarkEnd w:id="11"/>
      <w:bookmarkEnd w:id="12"/>
      <w:bookmarkEnd w:id="13"/>
    </w:p>
    <w:p>
      <w:pPr>
        <w:tabs>
          <w:tab w:val="left" w:pos="720"/>
        </w:tabs>
        <w:adjustRightInd w:val="0"/>
        <w:snapToGrid w:val="0"/>
        <w:spacing w:line="360" w:lineRule="auto"/>
        <w:ind w:firstLine="460" w:firstLineChars="192"/>
        <w:rPr>
          <w:rFonts w:ascii="宋体" w:hAnsi="宋体" w:eastAsia="宋体" w:cs="Arial"/>
          <w:sz w:val="24"/>
          <w:szCs w:val="24"/>
          <w:highlight w:val="none"/>
        </w:rPr>
      </w:pPr>
      <w:r>
        <w:rPr>
          <w:rFonts w:hint="eastAsia" w:ascii="宋体" w:hAnsi="宋体" w:eastAsia="宋体" w:cs="Arial"/>
          <w:sz w:val="24"/>
          <w:szCs w:val="24"/>
          <w:highlight w:val="none"/>
        </w:rPr>
        <w:t>规范性原则：成交供应商工作中的过程和文档，具有很好的规范性，可以便于项目的跟踪和控制；</w:t>
      </w:r>
    </w:p>
    <w:p>
      <w:pPr>
        <w:tabs>
          <w:tab w:val="left" w:pos="720"/>
        </w:tabs>
        <w:adjustRightInd w:val="0"/>
        <w:snapToGrid w:val="0"/>
        <w:spacing w:line="360" w:lineRule="auto"/>
        <w:ind w:firstLine="460" w:firstLineChars="192"/>
        <w:rPr>
          <w:rFonts w:ascii="宋体" w:hAnsi="宋体" w:eastAsia="宋体" w:cs="Arial"/>
          <w:sz w:val="24"/>
          <w:szCs w:val="24"/>
          <w:highlight w:val="none"/>
        </w:rPr>
      </w:pPr>
      <w:r>
        <w:rPr>
          <w:rFonts w:hint="eastAsia" w:ascii="宋体" w:hAnsi="宋体" w:eastAsia="宋体" w:cs="Arial"/>
          <w:sz w:val="24"/>
          <w:szCs w:val="24"/>
          <w:highlight w:val="none"/>
        </w:rPr>
        <w:t>标准性原则：测评方案的设计与实施应依据国家等级保护的相关标准进行。</w:t>
      </w:r>
    </w:p>
    <w:p>
      <w:pPr>
        <w:tabs>
          <w:tab w:val="left" w:pos="720"/>
        </w:tabs>
        <w:adjustRightInd w:val="0"/>
        <w:snapToGrid w:val="0"/>
        <w:spacing w:line="360" w:lineRule="auto"/>
        <w:ind w:firstLine="460" w:firstLineChars="192"/>
        <w:rPr>
          <w:rFonts w:ascii="宋体" w:hAnsi="宋体" w:eastAsia="宋体" w:cs="Arial"/>
          <w:sz w:val="24"/>
          <w:szCs w:val="24"/>
          <w:highlight w:val="none"/>
        </w:rPr>
      </w:pPr>
      <w:r>
        <w:rPr>
          <w:rFonts w:hint="eastAsia" w:ascii="宋体" w:hAnsi="宋体" w:eastAsia="宋体" w:cs="Arial"/>
          <w:sz w:val="24"/>
          <w:szCs w:val="24"/>
          <w:highlight w:val="none"/>
        </w:rPr>
        <w:t>可控性原则：测评的工具、方法和过程需在双方认可的范围之内并符合进度表的安排，保证采购人对服务工作的可控性；</w:t>
      </w:r>
    </w:p>
    <w:p>
      <w:pPr>
        <w:tabs>
          <w:tab w:val="left" w:pos="720"/>
        </w:tabs>
        <w:adjustRightInd w:val="0"/>
        <w:snapToGrid w:val="0"/>
        <w:spacing w:line="360" w:lineRule="auto"/>
        <w:ind w:firstLine="460" w:firstLineChars="192"/>
        <w:rPr>
          <w:rFonts w:ascii="宋体" w:hAnsi="宋体" w:eastAsia="宋体" w:cs="Arial"/>
          <w:sz w:val="24"/>
          <w:szCs w:val="24"/>
          <w:highlight w:val="none"/>
        </w:rPr>
      </w:pPr>
      <w:r>
        <w:rPr>
          <w:rFonts w:hint="eastAsia" w:ascii="宋体" w:hAnsi="宋体" w:eastAsia="宋体" w:cs="Arial"/>
          <w:sz w:val="24"/>
          <w:szCs w:val="24"/>
          <w:highlight w:val="none"/>
        </w:rPr>
        <w:t>整体性原则：测评和分析的范围和内容应当整体全面，包括安全涉及的各个层面，避免由于遗漏造成未来的安全隐患；</w:t>
      </w:r>
    </w:p>
    <w:p>
      <w:pPr>
        <w:tabs>
          <w:tab w:val="left" w:pos="720"/>
        </w:tabs>
        <w:adjustRightInd w:val="0"/>
        <w:snapToGrid w:val="0"/>
        <w:spacing w:line="360" w:lineRule="auto"/>
        <w:ind w:firstLine="460" w:firstLineChars="192"/>
        <w:rPr>
          <w:rFonts w:ascii="宋体" w:hAnsi="宋体" w:eastAsia="宋体" w:cs="Arial"/>
          <w:sz w:val="24"/>
          <w:szCs w:val="24"/>
          <w:highlight w:val="none"/>
        </w:rPr>
      </w:pPr>
      <w:r>
        <w:rPr>
          <w:rFonts w:hint="eastAsia" w:ascii="宋体" w:hAnsi="宋体" w:eastAsia="宋体" w:cs="Arial"/>
          <w:sz w:val="24"/>
          <w:szCs w:val="24"/>
          <w:highlight w:val="none"/>
        </w:rPr>
        <w:t>最小影响原则：测评工作应尽可能小的影响系统和网络的正常运行，不能对现网的运行和业务的正常提供产生显著影响(包括系统性能明显下降、网络拥塞、服务中断)，如无法避免，则应预先做出说明并经采购人同意后实施，在项目实施过程中，需有可行性的风险规避处置措施</w:t>
      </w:r>
    </w:p>
    <w:p>
      <w:pPr>
        <w:tabs>
          <w:tab w:val="left" w:pos="720"/>
        </w:tabs>
        <w:adjustRightInd w:val="0"/>
        <w:snapToGrid w:val="0"/>
        <w:spacing w:line="360" w:lineRule="auto"/>
        <w:ind w:firstLine="460" w:firstLineChars="192"/>
        <w:rPr>
          <w:rFonts w:ascii="宋体" w:hAnsi="宋体" w:eastAsia="宋体" w:cs="Arial"/>
          <w:sz w:val="24"/>
          <w:szCs w:val="24"/>
          <w:highlight w:val="none"/>
        </w:rPr>
      </w:pPr>
      <w:r>
        <w:rPr>
          <w:rFonts w:hint="eastAsia" w:ascii="宋体" w:hAnsi="宋体" w:eastAsia="宋体" w:cs="Arial"/>
          <w:sz w:val="24"/>
          <w:szCs w:val="24"/>
          <w:highlight w:val="none"/>
        </w:rPr>
        <w:t>保密原则：对测评的过程数据和结果数据严格保密，未经授权不得泄露给任何单位和个人，不得利用此数据进行任何侵害采购人网络的行为，否则采购人有权追究责任。</w:t>
      </w:r>
    </w:p>
    <w:p>
      <w:pPr>
        <w:numPr>
          <w:ilvl w:val="0"/>
          <w:numId w:val="2"/>
        </w:numPr>
        <w:spacing w:line="360" w:lineRule="auto"/>
        <w:ind w:left="0" w:firstLine="0"/>
        <w:rPr>
          <w:rFonts w:ascii="宋体" w:hAnsi="宋体" w:eastAsia="宋体" w:cs="Arial"/>
          <w:b/>
          <w:sz w:val="24"/>
          <w:szCs w:val="24"/>
          <w:highlight w:val="none"/>
        </w:rPr>
      </w:pPr>
      <w:bookmarkStart w:id="14" w:name="_Toc46177958"/>
      <w:bookmarkStart w:id="15" w:name="_Toc52369338"/>
      <w:bookmarkStart w:id="16" w:name="_Toc53217158"/>
      <w:r>
        <w:rPr>
          <w:rFonts w:hint="eastAsia" w:ascii="宋体" w:hAnsi="宋体" w:eastAsia="宋体" w:cs="Arial"/>
          <w:b/>
          <w:sz w:val="24"/>
          <w:szCs w:val="24"/>
          <w:highlight w:val="none"/>
        </w:rPr>
        <w:t>测评依据</w:t>
      </w:r>
      <w:bookmarkEnd w:id="14"/>
      <w:bookmarkEnd w:id="15"/>
      <w:bookmarkEnd w:id="16"/>
    </w:p>
    <w:p>
      <w:pPr>
        <w:tabs>
          <w:tab w:val="left" w:pos="720"/>
        </w:tabs>
        <w:adjustRightInd w:val="0"/>
        <w:snapToGrid w:val="0"/>
        <w:spacing w:line="360" w:lineRule="auto"/>
        <w:rPr>
          <w:rFonts w:ascii="宋体" w:hAnsi="宋体" w:eastAsia="宋体" w:cs="Arial"/>
          <w:sz w:val="24"/>
          <w:szCs w:val="24"/>
          <w:highlight w:val="none"/>
        </w:rPr>
      </w:pPr>
      <w:r>
        <w:rPr>
          <w:rFonts w:hint="eastAsia" w:ascii="宋体" w:hAnsi="宋体" w:eastAsia="宋体" w:cs="Arial"/>
          <w:sz w:val="24"/>
          <w:szCs w:val="24"/>
          <w:highlight w:val="none"/>
        </w:rPr>
        <w:t xml:space="preserve">《信息安全技术 网络安全等级保护基本要求》（GB/T 22239-2019） </w:t>
      </w:r>
    </w:p>
    <w:p>
      <w:pPr>
        <w:tabs>
          <w:tab w:val="left" w:pos="720"/>
        </w:tabs>
        <w:adjustRightInd w:val="0"/>
        <w:snapToGrid w:val="0"/>
        <w:spacing w:line="360" w:lineRule="auto"/>
        <w:rPr>
          <w:rFonts w:ascii="宋体" w:hAnsi="宋体" w:eastAsia="宋体" w:cs="Arial"/>
          <w:sz w:val="24"/>
          <w:szCs w:val="24"/>
          <w:highlight w:val="none"/>
        </w:rPr>
      </w:pPr>
      <w:r>
        <w:rPr>
          <w:rFonts w:hint="eastAsia" w:ascii="宋体" w:hAnsi="宋体" w:eastAsia="宋体" w:cs="Arial"/>
          <w:sz w:val="24"/>
          <w:szCs w:val="24"/>
          <w:highlight w:val="none"/>
        </w:rPr>
        <w:t>《信息安全技术 网络安全等级保护定级指南》（GB/T 22240-2020）</w:t>
      </w:r>
    </w:p>
    <w:p>
      <w:pPr>
        <w:tabs>
          <w:tab w:val="left" w:pos="720"/>
        </w:tabs>
        <w:adjustRightInd w:val="0"/>
        <w:snapToGrid w:val="0"/>
        <w:spacing w:line="360" w:lineRule="auto"/>
        <w:rPr>
          <w:rFonts w:ascii="宋体" w:hAnsi="宋体" w:eastAsia="宋体" w:cs="Arial"/>
          <w:sz w:val="24"/>
          <w:szCs w:val="24"/>
          <w:highlight w:val="none"/>
        </w:rPr>
      </w:pPr>
      <w:r>
        <w:rPr>
          <w:rFonts w:hint="eastAsia" w:ascii="宋体" w:hAnsi="宋体" w:eastAsia="宋体" w:cs="Arial"/>
          <w:sz w:val="24"/>
          <w:szCs w:val="24"/>
          <w:highlight w:val="none"/>
        </w:rPr>
        <w:t xml:space="preserve">《信息安全技术 网络安全等级保护测评要求》（GB/T 28448-2019） </w:t>
      </w:r>
    </w:p>
    <w:p>
      <w:pPr>
        <w:tabs>
          <w:tab w:val="left" w:pos="720"/>
        </w:tabs>
        <w:adjustRightInd w:val="0"/>
        <w:snapToGrid w:val="0"/>
        <w:spacing w:line="360" w:lineRule="auto"/>
        <w:rPr>
          <w:rFonts w:ascii="宋体" w:hAnsi="宋体" w:eastAsia="宋体" w:cs="Arial"/>
          <w:sz w:val="24"/>
          <w:szCs w:val="24"/>
          <w:highlight w:val="none"/>
        </w:rPr>
      </w:pPr>
      <w:r>
        <w:rPr>
          <w:rFonts w:hint="eastAsia" w:ascii="宋体" w:hAnsi="宋体" w:eastAsia="宋体" w:cs="Arial"/>
          <w:sz w:val="24"/>
          <w:szCs w:val="24"/>
          <w:highlight w:val="none"/>
        </w:rPr>
        <w:t>《信息安全技术 网络安全等级保护测评过程指南》（GB∕T 28449-2018）</w:t>
      </w:r>
    </w:p>
    <w:p>
      <w:pPr>
        <w:numPr>
          <w:ilvl w:val="0"/>
          <w:numId w:val="2"/>
        </w:numPr>
        <w:spacing w:line="360" w:lineRule="auto"/>
        <w:ind w:left="0" w:firstLine="0"/>
        <w:rPr>
          <w:rFonts w:ascii="宋体" w:hAnsi="宋体" w:eastAsia="宋体" w:cs="Arial"/>
          <w:b/>
          <w:sz w:val="24"/>
          <w:szCs w:val="24"/>
          <w:highlight w:val="none"/>
        </w:rPr>
      </w:pPr>
      <w:r>
        <w:rPr>
          <w:rFonts w:hint="eastAsia" w:ascii="宋体" w:hAnsi="宋体" w:eastAsia="宋体" w:cs="Arial"/>
          <w:b/>
          <w:sz w:val="24"/>
          <w:szCs w:val="24"/>
          <w:highlight w:val="none"/>
        </w:rPr>
        <w:t>等级保护测评内容</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17" w:name="_Toc4424565"/>
      <w:bookmarkStart w:id="18" w:name="_Toc311015404"/>
      <w:bookmarkStart w:id="19" w:name="_Toc287704425"/>
      <w:bookmarkStart w:id="20" w:name="_Toc288552020"/>
      <w:bookmarkStart w:id="21" w:name="_Toc288574635"/>
      <w:bookmarkStart w:id="22" w:name="_Toc288570237"/>
      <w:r>
        <w:rPr>
          <w:rFonts w:hint="eastAsia" w:ascii="宋体" w:hAnsi="宋体" w:eastAsia="宋体" w:cs="Times New Roman"/>
          <w:b/>
          <w:sz w:val="24"/>
          <w:szCs w:val="24"/>
          <w:highlight w:val="none"/>
        </w:rPr>
        <w:t>等级保护测评内容</w:t>
      </w:r>
      <w:bookmarkEnd w:id="17"/>
      <w:bookmarkEnd w:id="18"/>
    </w:p>
    <w:p>
      <w:pPr>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根据国家等级保护相关标准，本次项目的网络安全等级保护测评应包括以下内容：</w:t>
      </w:r>
    </w:p>
    <w:bookmarkEnd w:id="19"/>
    <w:bookmarkEnd w:id="20"/>
    <w:bookmarkEnd w:id="21"/>
    <w:bookmarkEnd w:id="22"/>
    <w:p>
      <w:pPr>
        <w:overflowPunct w:val="0"/>
        <w:topLinePunct/>
        <w:snapToGrid w:val="0"/>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安全技术测评：</w:t>
      </w:r>
      <w:r>
        <w:rPr>
          <w:rFonts w:hint="eastAsia" w:ascii="宋体" w:hAnsi="宋体" w:eastAsia="宋体" w:cs="Times New Roman"/>
          <w:sz w:val="24"/>
          <w:szCs w:val="24"/>
          <w:highlight w:val="none"/>
        </w:rPr>
        <w:t>包括安全物理环境</w:t>
      </w:r>
      <w:r>
        <w:rPr>
          <w:rFonts w:ascii="宋体" w:hAnsi="宋体" w:eastAsia="宋体" w:cs="Times New Roman"/>
          <w:sz w:val="24"/>
          <w:szCs w:val="24"/>
          <w:highlight w:val="none"/>
        </w:rPr>
        <w:t>、安全</w:t>
      </w:r>
      <w:r>
        <w:rPr>
          <w:rFonts w:hint="eastAsia" w:ascii="宋体" w:hAnsi="宋体" w:eastAsia="宋体" w:cs="Times New Roman"/>
          <w:sz w:val="24"/>
          <w:szCs w:val="24"/>
          <w:highlight w:val="none"/>
        </w:rPr>
        <w:t>通信</w:t>
      </w:r>
      <w:r>
        <w:rPr>
          <w:rFonts w:ascii="宋体" w:hAnsi="宋体" w:eastAsia="宋体" w:cs="Times New Roman"/>
          <w:sz w:val="24"/>
          <w:szCs w:val="24"/>
          <w:highlight w:val="none"/>
        </w:rPr>
        <w:t>网络</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安全</w:t>
      </w:r>
      <w:r>
        <w:rPr>
          <w:rFonts w:hint="eastAsia" w:ascii="宋体" w:hAnsi="宋体" w:eastAsia="宋体" w:cs="Times New Roman"/>
          <w:sz w:val="24"/>
          <w:szCs w:val="24"/>
          <w:highlight w:val="none"/>
        </w:rPr>
        <w:t>区域边界、安全计算环境、安全管理中心</w:t>
      </w:r>
      <w:r>
        <w:rPr>
          <w:rFonts w:ascii="宋体" w:hAnsi="宋体" w:eastAsia="宋体" w:cs="Times New Roman"/>
          <w:sz w:val="24"/>
          <w:szCs w:val="24"/>
          <w:highlight w:val="none"/>
        </w:rPr>
        <w:t>等</w:t>
      </w:r>
      <w:r>
        <w:rPr>
          <w:rFonts w:hint="eastAsia" w:ascii="宋体" w:hAnsi="宋体" w:eastAsia="宋体" w:cs="Times New Roman"/>
          <w:sz w:val="24"/>
          <w:szCs w:val="24"/>
          <w:highlight w:val="none"/>
        </w:rPr>
        <w:t>五个方面的安全</w:t>
      </w:r>
      <w:r>
        <w:rPr>
          <w:rFonts w:ascii="宋体" w:hAnsi="宋体" w:eastAsia="宋体" w:cs="Times New Roman"/>
          <w:sz w:val="24"/>
          <w:szCs w:val="24"/>
          <w:highlight w:val="none"/>
        </w:rPr>
        <w:t>测评；</w:t>
      </w:r>
    </w:p>
    <w:p>
      <w:pPr>
        <w:overflowPunct w:val="0"/>
        <w:topLinePunct/>
        <w:snapToGrid w:val="0"/>
        <w:spacing w:line="360" w:lineRule="auto"/>
        <w:ind w:firstLine="480" w:firstLineChars="200"/>
        <w:rPr>
          <w:rFonts w:ascii="宋体" w:hAnsi="宋体" w:eastAsia="宋体" w:cs="Times New Roman"/>
          <w:sz w:val="24"/>
          <w:szCs w:val="24"/>
          <w:highlight w:val="none"/>
        </w:rPr>
      </w:pPr>
      <w:r>
        <w:rPr>
          <w:rFonts w:ascii="宋体" w:hAnsi="宋体" w:eastAsia="宋体" w:cs="Times New Roman"/>
          <w:sz w:val="24"/>
          <w:szCs w:val="24"/>
          <w:highlight w:val="none"/>
        </w:rPr>
        <w:t>安全管理测评：</w:t>
      </w:r>
      <w:r>
        <w:rPr>
          <w:rFonts w:hint="eastAsia" w:ascii="宋体" w:hAnsi="宋体" w:eastAsia="宋体" w:cs="Times New Roman"/>
          <w:sz w:val="24"/>
          <w:szCs w:val="24"/>
          <w:highlight w:val="none"/>
        </w:rPr>
        <w:t>包括</w:t>
      </w:r>
      <w:r>
        <w:rPr>
          <w:rFonts w:ascii="宋体" w:hAnsi="宋体" w:eastAsia="宋体" w:cs="Times New Roman"/>
          <w:sz w:val="24"/>
          <w:szCs w:val="24"/>
          <w:highlight w:val="none"/>
        </w:rPr>
        <w:t>安全管理</w:t>
      </w:r>
      <w:r>
        <w:rPr>
          <w:rFonts w:hint="eastAsia" w:ascii="宋体" w:hAnsi="宋体" w:eastAsia="宋体" w:cs="Times New Roman"/>
          <w:sz w:val="24"/>
          <w:szCs w:val="24"/>
          <w:highlight w:val="none"/>
        </w:rPr>
        <w:t>制度</w:t>
      </w:r>
      <w:r>
        <w:rPr>
          <w:rFonts w:ascii="宋体" w:hAnsi="宋体" w:eastAsia="宋体" w:cs="Times New Roman"/>
          <w:sz w:val="24"/>
          <w:szCs w:val="24"/>
          <w:highlight w:val="none"/>
        </w:rPr>
        <w:t>、安全管理</w:t>
      </w:r>
      <w:r>
        <w:rPr>
          <w:rFonts w:hint="eastAsia" w:ascii="宋体" w:hAnsi="宋体" w:eastAsia="宋体" w:cs="Times New Roman"/>
          <w:sz w:val="24"/>
          <w:szCs w:val="24"/>
          <w:highlight w:val="none"/>
        </w:rPr>
        <w:t>机构、</w:t>
      </w:r>
      <w:r>
        <w:rPr>
          <w:rFonts w:ascii="宋体" w:hAnsi="宋体" w:eastAsia="宋体" w:cs="Times New Roman"/>
          <w:sz w:val="24"/>
          <w:szCs w:val="24"/>
          <w:highlight w:val="none"/>
        </w:rPr>
        <w:t>安全管理人员、</w:t>
      </w:r>
      <w:r>
        <w:rPr>
          <w:rFonts w:hint="eastAsia" w:ascii="宋体" w:hAnsi="宋体" w:eastAsia="宋体" w:cs="Times New Roman"/>
          <w:sz w:val="24"/>
          <w:szCs w:val="24"/>
          <w:highlight w:val="none"/>
        </w:rPr>
        <w:t>安全</w:t>
      </w:r>
      <w:r>
        <w:rPr>
          <w:rFonts w:ascii="宋体" w:hAnsi="宋体" w:eastAsia="宋体" w:cs="Times New Roman"/>
          <w:sz w:val="24"/>
          <w:szCs w:val="24"/>
          <w:highlight w:val="none"/>
        </w:rPr>
        <w:t>建设管理和</w:t>
      </w:r>
      <w:r>
        <w:rPr>
          <w:rFonts w:hint="eastAsia" w:ascii="宋体" w:hAnsi="宋体" w:eastAsia="宋体" w:cs="Times New Roman"/>
          <w:sz w:val="24"/>
          <w:szCs w:val="24"/>
          <w:highlight w:val="none"/>
        </w:rPr>
        <w:t>安全</w:t>
      </w:r>
      <w:r>
        <w:rPr>
          <w:rFonts w:ascii="宋体" w:hAnsi="宋体" w:eastAsia="宋体" w:cs="Times New Roman"/>
          <w:sz w:val="24"/>
          <w:szCs w:val="24"/>
          <w:highlight w:val="none"/>
        </w:rPr>
        <w:t>运维管理等</w:t>
      </w:r>
      <w:r>
        <w:rPr>
          <w:rFonts w:hint="eastAsia" w:ascii="宋体" w:hAnsi="宋体" w:eastAsia="宋体" w:cs="Times New Roman"/>
          <w:sz w:val="24"/>
          <w:szCs w:val="24"/>
          <w:highlight w:val="none"/>
        </w:rPr>
        <w:t>五</w:t>
      </w:r>
      <w:r>
        <w:rPr>
          <w:rFonts w:ascii="宋体" w:hAnsi="宋体" w:eastAsia="宋体" w:cs="Times New Roman"/>
          <w:sz w:val="24"/>
          <w:szCs w:val="24"/>
          <w:highlight w:val="none"/>
        </w:rPr>
        <w:t>个方面的安全测评</w:t>
      </w:r>
      <w:r>
        <w:rPr>
          <w:rFonts w:hint="eastAsia" w:ascii="宋体" w:hAnsi="宋体" w:eastAsia="宋体" w:cs="Times New Roman"/>
          <w:color w:val="000000"/>
          <w:sz w:val="24"/>
          <w:szCs w:val="24"/>
          <w:highlight w:val="none"/>
        </w:rPr>
        <w:t>。</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23" w:name="_Toc4424566"/>
      <w:r>
        <w:rPr>
          <w:rFonts w:hint="eastAsia" w:ascii="宋体" w:hAnsi="宋体" w:eastAsia="宋体" w:cs="Times New Roman"/>
          <w:b/>
          <w:sz w:val="24"/>
          <w:szCs w:val="24"/>
          <w:highlight w:val="none"/>
        </w:rPr>
        <w:t>安全物理</w:t>
      </w:r>
      <w:bookmarkEnd w:id="23"/>
      <w:r>
        <w:rPr>
          <w:rFonts w:hint="eastAsia" w:ascii="宋体" w:hAnsi="宋体" w:eastAsia="宋体" w:cs="Times New Roman"/>
          <w:b/>
          <w:sz w:val="24"/>
          <w:szCs w:val="24"/>
          <w:highlight w:val="none"/>
        </w:rPr>
        <w:t>环境</w:t>
      </w:r>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物理环境是对机房和办公场所的物理环境安全防护情况进行测评，包括物理位置选择、物理访问控制、防盗窃和防破坏、防雷击、防火、防水和防潮、防静电、温湿度控制、电力供应和电磁防护等方面的安全状况。</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24" w:name="_Toc4424567"/>
      <w:r>
        <w:rPr>
          <w:rFonts w:hint="eastAsia" w:ascii="宋体" w:hAnsi="宋体" w:eastAsia="宋体" w:cs="Times New Roman"/>
          <w:b/>
          <w:sz w:val="24"/>
          <w:szCs w:val="24"/>
          <w:highlight w:val="none"/>
        </w:rPr>
        <w:t>安全通信网络</w:t>
      </w:r>
      <w:bookmarkEnd w:id="24"/>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安全通信网络测评是对网络系统安全防护情况进行测评，包括网络架构、通信传输、可信验证等方面的安全状况。</w:t>
      </w:r>
    </w:p>
    <w:p>
      <w:pPr>
        <w:numPr>
          <w:ilvl w:val="1"/>
          <w:numId w:val="3"/>
        </w:numPr>
        <w:spacing w:line="360" w:lineRule="auto"/>
        <w:ind w:left="420" w:leftChars="200" w:firstLine="0"/>
        <w:outlineLvl w:val="4"/>
        <w:rPr>
          <w:rFonts w:ascii="宋体" w:hAnsi="宋体" w:eastAsia="宋体" w:cs="Times New Roman"/>
          <w:b/>
          <w:sz w:val="24"/>
          <w:szCs w:val="24"/>
          <w:highlight w:val="none"/>
        </w:rPr>
      </w:pPr>
      <w:r>
        <w:rPr>
          <w:rFonts w:hint="eastAsia" w:ascii="宋体" w:hAnsi="宋体" w:eastAsia="宋体" w:cs="Times New Roman"/>
          <w:b/>
          <w:sz w:val="24"/>
          <w:szCs w:val="24"/>
          <w:highlight w:val="none"/>
        </w:rPr>
        <w:t>安全区域边界</w:t>
      </w:r>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安全区域边界是对边界防护、访问控制、入侵防范、恶意代码防范、安全审计、可信验证等方面的测评。</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25" w:name="_Toc4424569"/>
      <w:r>
        <w:rPr>
          <w:rFonts w:hint="eastAsia" w:ascii="宋体" w:hAnsi="宋体" w:eastAsia="宋体" w:cs="Times New Roman"/>
          <w:b/>
          <w:sz w:val="24"/>
          <w:szCs w:val="24"/>
          <w:highlight w:val="none"/>
        </w:rPr>
        <w:t>安全</w:t>
      </w:r>
      <w:bookmarkEnd w:id="25"/>
      <w:r>
        <w:rPr>
          <w:rFonts w:hint="eastAsia" w:ascii="宋体" w:hAnsi="宋体" w:eastAsia="宋体" w:cs="Times New Roman"/>
          <w:b/>
          <w:sz w:val="24"/>
          <w:szCs w:val="24"/>
          <w:highlight w:val="none"/>
        </w:rPr>
        <w:t>计算环境</w:t>
      </w:r>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安全计算环境是对身份鉴别、访问控制、安全审计、入侵防范、恶意代码防范、可信验证、数据完整性、数据保密性、数据备份恢复、剩余信息保护、个人信息保护等方面的测评。</w:t>
      </w:r>
    </w:p>
    <w:p>
      <w:pPr>
        <w:numPr>
          <w:ilvl w:val="1"/>
          <w:numId w:val="3"/>
        </w:numPr>
        <w:spacing w:line="360" w:lineRule="auto"/>
        <w:ind w:left="420" w:leftChars="200" w:firstLine="0"/>
        <w:outlineLvl w:val="4"/>
        <w:rPr>
          <w:rFonts w:ascii="宋体" w:hAnsi="宋体" w:eastAsia="宋体" w:cs="Times New Roman"/>
          <w:b/>
          <w:sz w:val="24"/>
          <w:szCs w:val="24"/>
          <w:highlight w:val="none"/>
        </w:rPr>
      </w:pPr>
      <w:r>
        <w:rPr>
          <w:rFonts w:hint="eastAsia" w:ascii="宋体" w:hAnsi="宋体" w:eastAsia="宋体" w:cs="Times New Roman"/>
          <w:b/>
          <w:sz w:val="24"/>
          <w:szCs w:val="24"/>
          <w:highlight w:val="none"/>
        </w:rPr>
        <w:t>安全管理中心</w:t>
      </w:r>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安全管理中心是对系统管理、审计管理、安全管理、集中管控等方面的测评。</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26" w:name="_Toc4424571"/>
      <w:r>
        <w:rPr>
          <w:rFonts w:hint="eastAsia" w:ascii="宋体" w:hAnsi="宋体" w:eastAsia="宋体" w:cs="Times New Roman"/>
          <w:b/>
          <w:sz w:val="24"/>
          <w:szCs w:val="24"/>
          <w:highlight w:val="none"/>
        </w:rPr>
        <w:t>安全管理制度</w:t>
      </w:r>
      <w:bookmarkEnd w:id="26"/>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安全管理制度测评是对安全策略、管理制度、制定和发布、评审和修订进行测评。</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27" w:name="_Toc4424572"/>
      <w:r>
        <w:rPr>
          <w:rFonts w:hint="eastAsia" w:ascii="宋体" w:hAnsi="宋体" w:eastAsia="宋体" w:cs="Times New Roman"/>
          <w:b/>
          <w:sz w:val="24"/>
          <w:szCs w:val="24"/>
          <w:highlight w:val="none"/>
        </w:rPr>
        <w:t>安全管理机构</w:t>
      </w:r>
      <w:bookmarkEnd w:id="27"/>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安全管理机构测评是对岗位设置、人员配备、授权和审批、沟通和合作、审核和检查等情况进行测评。</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28" w:name="_Toc4424573"/>
      <w:r>
        <w:rPr>
          <w:rFonts w:hint="eastAsia" w:ascii="宋体" w:hAnsi="宋体" w:eastAsia="宋体" w:cs="Times New Roman"/>
          <w:b/>
          <w:sz w:val="24"/>
          <w:szCs w:val="24"/>
          <w:highlight w:val="none"/>
        </w:rPr>
        <w:t>安全管理</w:t>
      </w:r>
      <w:bookmarkEnd w:id="28"/>
      <w:r>
        <w:rPr>
          <w:rFonts w:hint="eastAsia" w:ascii="宋体" w:hAnsi="宋体" w:eastAsia="宋体" w:cs="Times New Roman"/>
          <w:b/>
          <w:sz w:val="24"/>
          <w:szCs w:val="24"/>
          <w:highlight w:val="none"/>
        </w:rPr>
        <w:t>人员</w:t>
      </w:r>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安全管理人员测评是对人员录用、人员离岗、安全意识教育和培训、外部人员访问管理等情况进行测评。</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29" w:name="_Toc4424574"/>
      <w:r>
        <w:rPr>
          <w:rFonts w:hint="eastAsia" w:ascii="宋体" w:hAnsi="宋体" w:eastAsia="宋体" w:cs="Times New Roman"/>
          <w:b/>
          <w:sz w:val="24"/>
          <w:szCs w:val="24"/>
          <w:highlight w:val="none"/>
        </w:rPr>
        <w:t>安全建设管理</w:t>
      </w:r>
      <w:bookmarkEnd w:id="29"/>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安全建设管理测评是对建设过程中的系统定级和备案、安全方案设计、产品采购和使用、自行软件开发、外包软件开发、 工程实施、测试验收、系统交付、 等级测评、服务供应商选择等情况进行测评。</w:t>
      </w:r>
    </w:p>
    <w:p>
      <w:pPr>
        <w:numPr>
          <w:ilvl w:val="1"/>
          <w:numId w:val="3"/>
        </w:numPr>
        <w:spacing w:line="360" w:lineRule="auto"/>
        <w:ind w:left="420" w:leftChars="200" w:firstLine="0"/>
        <w:outlineLvl w:val="4"/>
        <w:rPr>
          <w:rFonts w:ascii="宋体" w:hAnsi="宋体" w:eastAsia="宋体" w:cs="Times New Roman"/>
          <w:b/>
          <w:sz w:val="24"/>
          <w:szCs w:val="24"/>
          <w:highlight w:val="none"/>
        </w:rPr>
      </w:pPr>
      <w:bookmarkStart w:id="30" w:name="_Toc4424575"/>
      <w:r>
        <w:rPr>
          <w:rFonts w:hint="eastAsia" w:ascii="宋体" w:hAnsi="宋体" w:eastAsia="宋体" w:cs="Times New Roman"/>
          <w:b/>
          <w:sz w:val="24"/>
          <w:szCs w:val="24"/>
          <w:highlight w:val="none"/>
        </w:rPr>
        <w:t>安全运维管理</w:t>
      </w:r>
      <w:bookmarkEnd w:id="30"/>
    </w:p>
    <w:p>
      <w:pPr>
        <w:tabs>
          <w:tab w:val="left" w:pos="1080"/>
          <w:tab w:val="left" w:pos="1680"/>
        </w:tabs>
        <w:snapToGrid w:val="0"/>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pPr>
        <w:rPr>
          <w:rFonts w:ascii="Times New Roman" w:hAnsi="Times New Roman" w:eastAsia="宋体" w:cs="Times New Roman"/>
          <w:b/>
          <w:bCs/>
          <w:sz w:val="28"/>
          <w:szCs w:val="24"/>
          <w:highlight w:val="none"/>
        </w:rPr>
      </w:pPr>
      <w:bookmarkStart w:id="31" w:name="_Toc53217159"/>
      <w:r>
        <w:rPr>
          <w:rFonts w:hint="eastAsia" w:ascii="Times New Roman" w:hAnsi="Times New Roman" w:eastAsia="宋体" w:cs="Times New Roman"/>
          <w:b/>
          <w:bCs/>
          <w:sz w:val="28"/>
          <w:szCs w:val="24"/>
          <w:highlight w:val="none"/>
        </w:rPr>
        <w:t>七、报价要求</w:t>
      </w:r>
      <w:bookmarkEnd w:id="31"/>
    </w:p>
    <w:p>
      <w:pPr>
        <w:tabs>
          <w:tab w:val="left" w:pos="284"/>
        </w:tabs>
        <w:spacing w:line="360" w:lineRule="auto"/>
        <w:ind w:firstLine="480" w:firstLineChars="200"/>
        <w:jc w:val="left"/>
        <w:rPr>
          <w:rFonts w:ascii="宋体" w:hAnsi="宋体" w:eastAsia="宋体" w:cs="Arial"/>
          <w:sz w:val="24"/>
          <w:szCs w:val="24"/>
          <w:highlight w:val="none"/>
        </w:rPr>
      </w:pPr>
      <w:r>
        <w:rPr>
          <w:rFonts w:hint="eastAsia" w:ascii="宋体" w:hAnsi="宋体" w:eastAsia="宋体" w:cs="Arial"/>
          <w:sz w:val="24"/>
          <w:szCs w:val="24"/>
          <w:highlight w:val="none"/>
        </w:rPr>
        <w:t>本项目报总价，报价包含完成本项目服务期间所产生的一切费用（含验收费用）。</w:t>
      </w:r>
    </w:p>
    <w:p>
      <w:pPr>
        <w:rPr>
          <w:rFonts w:ascii="Times New Roman" w:hAnsi="Times New Roman" w:eastAsia="宋体" w:cs="Times New Roman"/>
          <w:b/>
          <w:bCs/>
          <w:sz w:val="28"/>
          <w:szCs w:val="24"/>
          <w:highlight w:val="none"/>
        </w:rPr>
      </w:pPr>
      <w:bookmarkStart w:id="32" w:name="_Toc53217160"/>
      <w:r>
        <w:rPr>
          <w:rFonts w:hint="eastAsia" w:ascii="Times New Roman" w:hAnsi="Times New Roman" w:eastAsia="宋体" w:cs="Times New Roman"/>
          <w:b/>
          <w:bCs/>
          <w:sz w:val="28"/>
          <w:szCs w:val="24"/>
          <w:highlight w:val="none"/>
        </w:rPr>
        <w:t>八、人员配备</w:t>
      </w:r>
      <w:bookmarkEnd w:id="32"/>
    </w:p>
    <w:p>
      <w:pPr>
        <w:spacing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成交供应商需根据测评业务系统的数量自行评估并配置测评实施团队。测评实施团队在合同约定期内派驻采购人到指定地点办公；</w:t>
      </w:r>
      <w:r>
        <w:rPr>
          <w:rFonts w:hint="eastAsia" w:ascii="宋体" w:hAnsi="宋体" w:eastAsia="宋体" w:cs="Arial"/>
          <w:sz w:val="24"/>
          <w:szCs w:val="24"/>
          <w:highlight w:val="none"/>
        </w:rPr>
        <w:t>成交供应商</w:t>
      </w:r>
      <w:r>
        <w:rPr>
          <w:rFonts w:hint="eastAsia" w:ascii="宋体" w:hAnsi="宋体" w:eastAsia="宋体" w:cs="Times New Roman"/>
          <w:sz w:val="24"/>
          <w:szCs w:val="24"/>
          <w:highlight w:val="none"/>
        </w:rPr>
        <w:t>需保证在实施阶段主要技术人员必须是全职驻点。</w:t>
      </w:r>
    </w:p>
    <w:p>
      <w:pPr>
        <w:rPr>
          <w:rFonts w:ascii="Times New Roman" w:hAnsi="Times New Roman" w:eastAsia="宋体" w:cs="Times New Roman"/>
          <w:b/>
          <w:bCs/>
          <w:sz w:val="28"/>
          <w:szCs w:val="24"/>
          <w:highlight w:val="none"/>
        </w:rPr>
      </w:pPr>
      <w:bookmarkStart w:id="33" w:name="_Toc53217161"/>
      <w:r>
        <w:rPr>
          <w:rFonts w:hint="eastAsia" w:ascii="Times New Roman" w:hAnsi="Times New Roman" w:eastAsia="宋体" w:cs="Times New Roman"/>
          <w:b/>
          <w:bCs/>
          <w:sz w:val="28"/>
          <w:szCs w:val="24"/>
          <w:highlight w:val="none"/>
        </w:rPr>
        <w:t>九、验收标准</w:t>
      </w:r>
      <w:bookmarkEnd w:id="33"/>
    </w:p>
    <w:p>
      <w:pPr>
        <w:spacing w:line="360" w:lineRule="auto"/>
        <w:ind w:firstLine="360" w:firstLineChars="150"/>
        <w:rPr>
          <w:rFonts w:ascii="宋体" w:hAnsi="宋体" w:eastAsia="宋体" w:cs="Times New Roman"/>
          <w:sz w:val="24"/>
          <w:szCs w:val="24"/>
          <w:highlight w:val="none"/>
        </w:rPr>
      </w:pPr>
      <w:r>
        <w:rPr>
          <w:rFonts w:ascii="宋体" w:hAnsi="宋体" w:eastAsia="宋体" w:cs="Arial"/>
          <w:sz w:val="24"/>
          <w:szCs w:val="24"/>
          <w:highlight w:val="none"/>
        </w:rPr>
        <w:t>(1)</w:t>
      </w:r>
      <w:r>
        <w:rPr>
          <w:rFonts w:hint="eastAsia" w:ascii="宋体" w:hAnsi="宋体" w:eastAsia="宋体" w:cs="Arial"/>
          <w:sz w:val="24"/>
          <w:szCs w:val="24"/>
          <w:highlight w:val="none"/>
        </w:rPr>
        <w:t>成交供应商按</w:t>
      </w:r>
      <w:bookmarkStart w:id="34" w:name="_Hlk87128809"/>
      <w:r>
        <w:rPr>
          <w:rFonts w:hint="eastAsia" w:ascii="宋体" w:hAnsi="宋体" w:eastAsia="宋体" w:cs="Arial"/>
          <w:sz w:val="24"/>
          <w:szCs w:val="24"/>
          <w:highlight w:val="none"/>
        </w:rPr>
        <w:t>网络安全等级保护2</w:t>
      </w:r>
      <w:r>
        <w:rPr>
          <w:rFonts w:ascii="宋体" w:hAnsi="宋体" w:eastAsia="宋体" w:cs="Arial"/>
          <w:sz w:val="24"/>
          <w:szCs w:val="24"/>
          <w:highlight w:val="none"/>
        </w:rPr>
        <w:t>.0</w:t>
      </w:r>
      <w:bookmarkEnd w:id="34"/>
      <w:r>
        <w:rPr>
          <w:rFonts w:hint="eastAsia" w:ascii="宋体" w:hAnsi="宋体" w:eastAsia="宋体" w:cs="Arial"/>
          <w:sz w:val="24"/>
          <w:szCs w:val="24"/>
          <w:highlight w:val="none"/>
        </w:rPr>
        <w:t>要求，完成规定工作内容，提供相关过程文档，</w:t>
      </w:r>
      <w:r>
        <w:rPr>
          <w:rFonts w:hint="eastAsia" w:ascii="宋体" w:hAnsi="宋体" w:eastAsia="宋体" w:cs="Times New Roman"/>
          <w:sz w:val="24"/>
          <w:szCs w:val="24"/>
          <w:highlight w:val="none"/>
        </w:rPr>
        <w:t>能够按照网络安全等级保护2.0标准出具符合标准要求的测评报告。</w:t>
      </w:r>
    </w:p>
    <w:p>
      <w:pPr>
        <w:spacing w:line="360" w:lineRule="auto"/>
        <w:ind w:firstLine="480" w:firstLineChars="200"/>
        <w:rPr>
          <w:rFonts w:ascii="宋体" w:hAnsi="宋体" w:eastAsia="宋体" w:cs="宋体"/>
          <w:b/>
          <w:szCs w:val="21"/>
          <w:highlight w:val="none"/>
        </w:rPr>
      </w:pPr>
      <w:r>
        <w:rPr>
          <w:rFonts w:ascii="宋体" w:hAnsi="宋体" w:eastAsia="宋体" w:cs="Arial"/>
          <w:sz w:val="24"/>
          <w:szCs w:val="24"/>
          <w:highlight w:val="none"/>
        </w:rPr>
        <w:t>(2)</w:t>
      </w:r>
      <w:r>
        <w:rPr>
          <w:rFonts w:hint="eastAsia" w:ascii="宋体" w:hAnsi="宋体" w:eastAsia="宋体" w:cs="Arial"/>
          <w:sz w:val="24"/>
          <w:szCs w:val="24"/>
          <w:highlight w:val="none"/>
        </w:rPr>
        <w:t>成交供应商按招标文件要求，完成安全服务规定的工作内容，提供相关过程文档，能够出具</w:t>
      </w:r>
      <w:r>
        <w:rPr>
          <w:rFonts w:ascii="宋体" w:hAnsi="宋体" w:eastAsia="宋体" w:cs="Arial"/>
          <w:sz w:val="24"/>
          <w:szCs w:val="24"/>
          <w:highlight w:val="none"/>
        </w:rPr>
        <w:t>安庆职业技术学院</w:t>
      </w:r>
      <w:r>
        <w:rPr>
          <w:rFonts w:hint="eastAsia" w:ascii="宋体" w:hAnsi="宋体" w:eastAsia="宋体" w:cs="Arial"/>
          <w:sz w:val="24"/>
          <w:szCs w:val="24"/>
          <w:highlight w:val="none"/>
        </w:rPr>
        <w:t>认可的结果报告。</w:t>
      </w:r>
    </w:p>
    <w:p>
      <w:pPr>
        <w:adjustRightInd w:val="0"/>
        <w:snapToGrid w:val="0"/>
        <w:spacing w:line="360" w:lineRule="auto"/>
        <w:rPr>
          <w:rFonts w:ascii="宋体" w:hAnsi="Times New Roman" w:eastAsia="宋体" w:cs="宋体"/>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2">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0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2021-11-08T06:30:20Z</dcterms:created>
  <dc:creator>马婷</dc:creator>
  <cp:lastModifiedBy>荷角轻婷</cp:lastModifiedBy>
  <dcterms:modified xsi:type="dcterms:W3CDTF">2021-11-08T06:30:35Z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66360E00117B4BEEB229C5D5BF711EB5</vt:lpwstr>
  </property>
</Properties>
</file>